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00AF733E"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F06700">
        <w:rPr>
          <w:rFonts w:cs="Arial"/>
          <w:sz w:val="24"/>
          <w:szCs w:val="24"/>
        </w:rPr>
        <w:t>9</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5C3392" w:rsidRPr="00DA7066">
        <w:rPr>
          <w:rFonts w:cs="Arial"/>
          <w:noProof w:val="0"/>
          <w:sz w:val="24"/>
        </w:rPr>
        <w:t>2</w:t>
      </w:r>
      <w:r w:rsidR="005C3392">
        <w:rPr>
          <w:rFonts w:cs="Arial"/>
          <w:noProof w:val="0"/>
          <w:sz w:val="24"/>
        </w:rPr>
        <w:t>3</w:t>
      </w:r>
      <w:r w:rsidR="00D335BC">
        <w:rPr>
          <w:rFonts w:cs="Arial"/>
          <w:noProof w:val="0"/>
          <w:sz w:val="24"/>
        </w:rPr>
        <w:t>19133</w:t>
      </w:r>
    </w:p>
    <w:p w14:paraId="321D1244" w14:textId="5E9AEBAD" w:rsidR="0011347F" w:rsidRPr="00AB081E" w:rsidRDefault="00F06700" w:rsidP="0011347F">
      <w:pPr>
        <w:pStyle w:val="Header"/>
        <w:tabs>
          <w:tab w:val="right" w:pos="8280"/>
          <w:tab w:val="right" w:pos="9639"/>
        </w:tabs>
        <w:jc w:val="both"/>
        <w:rPr>
          <w:rFonts w:cs="Arial"/>
          <w:sz w:val="24"/>
          <w:szCs w:val="24"/>
        </w:rPr>
      </w:pPr>
      <w:r>
        <w:rPr>
          <w:rFonts w:cs="Arial"/>
          <w:sz w:val="24"/>
          <w:szCs w:val="24"/>
        </w:rPr>
        <w:t>Chicago</w:t>
      </w:r>
      <w:r w:rsidR="00D00CC3">
        <w:rPr>
          <w:rFonts w:cs="Arial"/>
          <w:sz w:val="24"/>
          <w:szCs w:val="24"/>
        </w:rPr>
        <w:t xml:space="preserve">, </w:t>
      </w:r>
      <w:r>
        <w:rPr>
          <w:rFonts w:cs="Arial"/>
          <w:sz w:val="24"/>
          <w:szCs w:val="24"/>
        </w:rPr>
        <w:t>US</w:t>
      </w:r>
      <w:r w:rsidR="0011347F" w:rsidRPr="00AB081E">
        <w:rPr>
          <w:rFonts w:cs="Arial"/>
          <w:sz w:val="24"/>
          <w:szCs w:val="24"/>
        </w:rPr>
        <w:t xml:space="preserve">, </w:t>
      </w:r>
      <w:r>
        <w:rPr>
          <w:rFonts w:cs="Arial"/>
          <w:sz w:val="24"/>
          <w:szCs w:val="24"/>
        </w:rPr>
        <w:t>13</w:t>
      </w:r>
      <w:r w:rsidR="00631941" w:rsidRPr="00631941">
        <w:rPr>
          <w:rFonts w:cs="Arial"/>
          <w:sz w:val="24"/>
          <w:szCs w:val="24"/>
          <w:vertAlign w:val="superscript"/>
        </w:rPr>
        <w:t>th</w:t>
      </w:r>
      <w:r w:rsidR="00631941">
        <w:rPr>
          <w:rFonts w:cs="Arial"/>
          <w:sz w:val="24"/>
          <w:szCs w:val="24"/>
        </w:rPr>
        <w:t xml:space="preserve"> </w:t>
      </w:r>
      <w:r w:rsidR="0011347F">
        <w:rPr>
          <w:rFonts w:cs="Arial"/>
          <w:sz w:val="24"/>
          <w:szCs w:val="24"/>
        </w:rPr>
        <w:t xml:space="preserve">– </w:t>
      </w:r>
      <w:r w:rsidR="00631941">
        <w:rPr>
          <w:rFonts w:cs="Arial"/>
          <w:sz w:val="24"/>
          <w:szCs w:val="24"/>
        </w:rPr>
        <w:t>1</w:t>
      </w:r>
      <w:r>
        <w:rPr>
          <w:rFonts w:cs="Arial"/>
          <w:sz w:val="24"/>
          <w:szCs w:val="24"/>
        </w:rPr>
        <w:t>7</w:t>
      </w:r>
      <w:r w:rsidR="00631941" w:rsidRPr="00631941">
        <w:rPr>
          <w:rFonts w:cs="Arial"/>
          <w:sz w:val="24"/>
          <w:szCs w:val="24"/>
          <w:vertAlign w:val="superscript"/>
        </w:rPr>
        <w:t>th</w:t>
      </w:r>
      <w:r w:rsidR="00631941">
        <w:rPr>
          <w:rFonts w:cs="Arial"/>
          <w:sz w:val="24"/>
          <w:szCs w:val="24"/>
        </w:rPr>
        <w:t xml:space="preserve"> </w:t>
      </w:r>
      <w:r>
        <w:rPr>
          <w:rFonts w:cs="Arial"/>
          <w:sz w:val="24"/>
          <w:szCs w:val="24"/>
        </w:rPr>
        <w:t>November</w:t>
      </w:r>
      <w:r w:rsidR="0011347F" w:rsidRPr="00AE32FA">
        <w:rPr>
          <w:rFonts w:cs="Arial"/>
          <w:sz w:val="24"/>
          <w:szCs w:val="24"/>
        </w:rPr>
        <w:t xml:space="preserve">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A65CD33"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06700">
        <w:rPr>
          <w:rFonts w:ascii="Arial" w:hAnsi="Arial" w:cs="Arial"/>
          <w:b/>
          <w:sz w:val="24"/>
        </w:rPr>
        <w:t>8</w:t>
      </w:r>
      <w:r w:rsidR="00631941">
        <w:rPr>
          <w:rFonts w:ascii="Arial" w:hAnsi="Arial" w:cs="Arial"/>
          <w:b/>
          <w:sz w:val="24"/>
        </w:rPr>
        <w:t>.34.3.2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A70648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r w:rsidR="00315915">
        <w:rPr>
          <w:rFonts w:ascii="Arial" w:hAnsi="Arial" w:cs="Arial"/>
          <w:b/>
          <w:sz w:val="24"/>
        </w:rPr>
        <w:t xml:space="preserve"> – SSB-less SCell</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D2376A8" w14:textId="7CDD7A0E" w:rsidR="00963D2F" w:rsidRDefault="00963D2F" w:rsidP="00E62411">
      <w:r>
        <w:t>In April WG meeting, agreements were made facilitating initial progress of this item. The agreements are captured in the approved WF R4-2306369</w:t>
      </w:r>
      <w:r w:rsidR="00F752C0">
        <w:t xml:space="preserve"> [2]</w:t>
      </w:r>
      <w:r>
        <w:t>.</w:t>
      </w:r>
      <w:r w:rsidR="00F752C0">
        <w:t xml:space="preserve"> In May WG meeting, the agreements made are captured in the WF R4-2310086 [3].</w:t>
      </w:r>
      <w:r w:rsidR="008765C3">
        <w:t xml:space="preserve"> In August, further approved WF is in R4-2314381 [4].</w:t>
      </w:r>
      <w:r w:rsidR="00E145A9">
        <w:t xml:space="preserve"> October meeting approved the WF in R4-2317405 [5].</w:t>
      </w:r>
    </w:p>
    <w:p w14:paraId="12972A5B" w14:textId="7D313C81" w:rsidR="00E62411" w:rsidRDefault="003C2F62" w:rsidP="00E62411">
      <w:r w:rsidRPr="00536CC1">
        <w:t>In this paper we provide our views on</w:t>
      </w:r>
      <w:r w:rsidR="0026404E">
        <w:t xml:space="preserve"> </w:t>
      </w:r>
      <w:r w:rsidR="0016005A">
        <w:t xml:space="preserve">the remaining </w:t>
      </w:r>
      <w:r w:rsidR="00883BF1">
        <w:t xml:space="preserve">RRM aspects </w:t>
      </w:r>
      <w:r w:rsidR="0016005A">
        <w:t xml:space="preserve">to close this </w:t>
      </w:r>
      <w:r w:rsidR="0077379B">
        <w:t>topic</w:t>
      </w:r>
      <w:r w:rsidR="002A3FC8">
        <w:t>.</w:t>
      </w:r>
    </w:p>
    <w:p w14:paraId="7A73CE75" w14:textId="548A0372" w:rsidR="00EB6DB3" w:rsidRDefault="00EB6DB3" w:rsidP="006850C8">
      <w:pPr>
        <w:pStyle w:val="Heading1"/>
      </w:pPr>
      <w:r>
        <w:t>Discussion</w:t>
      </w:r>
    </w:p>
    <w:p w14:paraId="4D3C030D" w14:textId="29E0AAEA" w:rsidR="001A63FD" w:rsidRDefault="001A63FD" w:rsidP="001A63FD">
      <w:pPr>
        <w:pStyle w:val="Heading2"/>
        <w:ind w:left="567"/>
      </w:pPr>
      <w:r>
        <w:t>Scenario 1</w:t>
      </w:r>
      <w:r w:rsidR="00BD2FF9">
        <w:t>: without SSB but with TRS transmission</w:t>
      </w:r>
    </w:p>
    <w:p w14:paraId="5D8A4C84" w14:textId="1A3BDA2F" w:rsidR="00840947" w:rsidRDefault="00840947" w:rsidP="00182B74">
      <w:r>
        <w:t>The FR1 SCell activation requirements for SSB-less target intra-band SCell</w:t>
      </w:r>
      <w:r w:rsidR="006319AF">
        <w:t>,</w:t>
      </w:r>
      <w:r>
        <w:t xml:space="preserve"> which is contiguous in frequency with the </w:t>
      </w:r>
      <w:proofErr w:type="spellStart"/>
      <w:r>
        <w:t>PCell</w:t>
      </w:r>
      <w:proofErr w:type="spellEnd"/>
      <w:r w:rsidR="006319AF">
        <w:t>,</w:t>
      </w:r>
      <w:r>
        <w:t xml:space="preserve"> were at first introduced in the Rel-15 specification. The idea is that the UE is </w:t>
      </w:r>
      <w:r w:rsidR="00DD2512">
        <w:t xml:space="preserve">supposed </w:t>
      </w:r>
      <w:r>
        <w:t xml:space="preserve">to use the information on the </w:t>
      </w:r>
      <w:proofErr w:type="spellStart"/>
      <w:r>
        <w:t>PCell</w:t>
      </w:r>
      <w:proofErr w:type="spellEnd"/>
      <w:r>
        <w:t xml:space="preserve"> to derive needed </w:t>
      </w:r>
      <w:r w:rsidR="00927F65">
        <w:t>information</w:t>
      </w:r>
      <w:r>
        <w:t xml:space="preserve"> </w:t>
      </w:r>
      <w:proofErr w:type="gramStart"/>
      <w:r>
        <w:t>in order to</w:t>
      </w:r>
      <w:proofErr w:type="gramEnd"/>
      <w:r>
        <w:t xml:space="preserve"> activate the intra-band contiguous target SCell. Indeed, there are prerequisite conditions to be met to facilitate the applicability of the requirements.</w:t>
      </w:r>
    </w:p>
    <w:tbl>
      <w:tblPr>
        <w:tblStyle w:val="TableGrid"/>
        <w:tblW w:w="0" w:type="auto"/>
        <w:tblLook w:val="04A0" w:firstRow="1" w:lastRow="0" w:firstColumn="1" w:lastColumn="0" w:noHBand="0" w:noVBand="1"/>
      </w:tblPr>
      <w:tblGrid>
        <w:gridCol w:w="9629"/>
      </w:tblGrid>
      <w:tr w:rsidR="00840947" w14:paraId="0FCDF4AB" w14:textId="77777777" w:rsidTr="00840947">
        <w:tc>
          <w:tcPr>
            <w:tcW w:w="9629" w:type="dxa"/>
          </w:tcPr>
          <w:p w14:paraId="602B4203" w14:textId="77777777" w:rsidR="00840947" w:rsidRDefault="00840947" w:rsidP="00840947">
            <w:r>
              <w:t>If the SCell being activated belongs to FR1 and if there is at least one active serving cell contiguous to the SCell on that FR1 band, if the UE is not provided with SSB configuration (</w:t>
            </w:r>
            <w:proofErr w:type="spellStart"/>
            <w:r>
              <w:t>absoluteFrequencySSB</w:t>
            </w:r>
            <w:proofErr w:type="spellEnd"/>
            <w:r>
              <w:t xml:space="preserve">) nor SMTC configuration for the target SCell, </w:t>
            </w:r>
            <w:proofErr w:type="spellStart"/>
            <w:r>
              <w:t>Tactivation_time</w:t>
            </w:r>
            <w:proofErr w:type="spellEnd"/>
            <w:r>
              <w:t xml:space="preserve"> is 3 </w:t>
            </w:r>
            <w:proofErr w:type="spellStart"/>
            <w:r>
              <w:t>ms</w:t>
            </w:r>
            <w:proofErr w:type="spellEnd"/>
            <w:r>
              <w:t xml:space="preserve"> for UE supporting </w:t>
            </w:r>
            <w:proofErr w:type="spellStart"/>
            <w:r>
              <w:t>scellWithoutSSB</w:t>
            </w:r>
            <w:proofErr w:type="spellEnd"/>
            <w:r>
              <w:t xml:space="preserve">, </w:t>
            </w:r>
            <w:proofErr w:type="gramStart"/>
            <w:r>
              <w:t>provided</w:t>
            </w:r>
            <w:proofErr w:type="gramEnd"/>
          </w:p>
          <w:p w14:paraId="7690498D" w14:textId="77777777" w:rsidR="00840947" w:rsidRDefault="00840947" w:rsidP="00840947">
            <w:r>
              <w:t>-</w:t>
            </w:r>
            <w:r>
              <w:tab/>
              <w:t xml:space="preserve">The RTD between the target SCell and the contiguous active serving cell is within </w:t>
            </w:r>
            <w:proofErr w:type="spellStart"/>
            <w:r>
              <w:t>within</w:t>
            </w:r>
            <w:proofErr w:type="spellEnd"/>
            <w:r>
              <w:t xml:space="preserve"> ±260ns, and </w:t>
            </w:r>
          </w:p>
          <w:p w14:paraId="186293FF" w14:textId="77777777" w:rsidR="00840947" w:rsidRDefault="00840947" w:rsidP="00840947">
            <w:r>
              <w:t>-</w:t>
            </w:r>
            <w:r>
              <w:tab/>
              <w:t xml:space="preserve">The difference of the reception power with the contiguous active serving cell is &lt;= 6dB, and </w:t>
            </w:r>
          </w:p>
          <w:p w14:paraId="2C81EF81" w14:textId="18D45529" w:rsidR="00840947" w:rsidRDefault="00840947" w:rsidP="00840947">
            <w:r>
              <w:t>-</w:t>
            </w:r>
            <w:r>
              <w:tab/>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w:t>
            </w:r>
          </w:p>
        </w:tc>
      </w:tr>
    </w:tbl>
    <w:p w14:paraId="682DBB3F" w14:textId="641B38F0" w:rsidR="00840947" w:rsidRDefault="00840947" w:rsidP="00182B74">
      <w:r>
        <w:t>In the network energy saving work item, we have the below objective,</w:t>
      </w:r>
    </w:p>
    <w:tbl>
      <w:tblPr>
        <w:tblStyle w:val="TableGrid"/>
        <w:tblW w:w="0" w:type="auto"/>
        <w:tblLook w:val="04A0" w:firstRow="1" w:lastRow="0" w:firstColumn="1" w:lastColumn="0" w:noHBand="0" w:noVBand="1"/>
      </w:tblPr>
      <w:tblGrid>
        <w:gridCol w:w="9629"/>
      </w:tblGrid>
      <w:tr w:rsidR="00840947" w14:paraId="781AE2E9" w14:textId="77777777" w:rsidTr="00840947">
        <w:tc>
          <w:tcPr>
            <w:tcW w:w="9629" w:type="dxa"/>
          </w:tcPr>
          <w:p w14:paraId="1C86BD5A" w14:textId="7A520111" w:rsidR="00840947" w:rsidRPr="00840947" w:rsidRDefault="00840947" w:rsidP="00182B74">
            <w:pPr>
              <w:numPr>
                <w:ilvl w:val="0"/>
                <w:numId w:val="30"/>
              </w:numPr>
              <w:spacing w:before="0" w:after="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tc>
      </w:tr>
    </w:tbl>
    <w:p w14:paraId="03643219" w14:textId="0A1AA68A" w:rsidR="00840947" w:rsidRDefault="00840947" w:rsidP="00182B74">
      <w:r>
        <w:t xml:space="preserve">This is to extend the activation requirements of SSB-less SCell to also support inter-band CA. It is natural that the idea of this objective is the same as in the previous spec about intra-band contiguous CA: the UE is </w:t>
      </w:r>
      <w:r w:rsidR="002F6E94">
        <w:t>supposed</w:t>
      </w:r>
      <w:r>
        <w:t xml:space="preserve"> to make use of reference signals transmitted in another carrier to derive needed info on the target SCell without SSB transmitted. </w:t>
      </w:r>
    </w:p>
    <w:p w14:paraId="15D0D750" w14:textId="61A61C3E" w:rsidR="00B93D8F" w:rsidRDefault="00B93D8F" w:rsidP="00182B74">
      <w:proofErr w:type="gramStart"/>
      <w:r>
        <w:t>In order to</w:t>
      </w:r>
      <w:proofErr w:type="gramEnd"/>
      <w:r>
        <w:t xml:space="preserve"> extend the applicability to inter-band CA, we need to examine all the prerequisite conditions to see if there is need to modify or apply without change.</w:t>
      </w:r>
    </w:p>
    <w:p w14:paraId="230B52D6" w14:textId="58472500" w:rsidR="00B93D8F" w:rsidRPr="002803DD" w:rsidRDefault="002803DD" w:rsidP="00952824">
      <w:pPr>
        <w:rPr>
          <w:b/>
          <w:bCs/>
          <w:i/>
          <w:iCs/>
          <w:u w:val="single"/>
        </w:rPr>
      </w:pPr>
      <w:r w:rsidRPr="002803DD">
        <w:rPr>
          <w:b/>
          <w:bCs/>
          <w:i/>
          <w:iCs/>
          <w:u w:val="single"/>
        </w:rPr>
        <w:t xml:space="preserve">Power </w:t>
      </w:r>
      <w:r w:rsidR="00136953">
        <w:rPr>
          <w:b/>
          <w:bCs/>
          <w:i/>
          <w:iCs/>
          <w:u w:val="single"/>
        </w:rPr>
        <w:t>imbalance</w:t>
      </w:r>
      <w:r w:rsidRPr="002803DD">
        <w:rPr>
          <w:b/>
          <w:bCs/>
          <w:i/>
          <w:iCs/>
          <w:u w:val="single"/>
        </w:rPr>
        <w:t xml:space="preserve"> </w:t>
      </w:r>
    </w:p>
    <w:p w14:paraId="5466CEA4" w14:textId="64BBFBAC" w:rsidR="002803DD" w:rsidRDefault="002803DD" w:rsidP="00182B74">
      <w:r>
        <w:t xml:space="preserve">The power difference between the target cell and the reference cell configured with SSB is also important for the UE to correctly carry out SCell activation on the SSB-less target. </w:t>
      </w:r>
      <w:proofErr w:type="gramStart"/>
      <w:r>
        <w:t>In order for</w:t>
      </w:r>
      <w:proofErr w:type="gramEnd"/>
      <w:r>
        <w:t xml:space="preserve"> the UE to use the measured results on the SSB cell to derive info to the SSB-less target cell, the power difference between the two cells has to be smaller than a certain threshold. In the intra-band contiguous case, &lt;6dB is required. </w:t>
      </w:r>
    </w:p>
    <w:p w14:paraId="1AB2D505" w14:textId="43A7DC7E" w:rsidR="00136953" w:rsidRDefault="00136953" w:rsidP="00182B74">
      <w:r>
        <w:t xml:space="preserve">Though it is often seen that between inter-band carriers, the power imbalance is much larger compared to intra-band cases, we need to guarantee the SCell activation performance under a correct deployment and configuration from the </w:t>
      </w:r>
      <w:r>
        <w:lastRenderedPageBreak/>
        <w:t>network. Since we assume that this kind of requirement only applies to collocated scenarios, we propose to keep the 6dB maximum imbalance value.</w:t>
      </w:r>
    </w:p>
    <w:p w14:paraId="66CF2F73" w14:textId="69AB4DB4" w:rsidR="00A1166F" w:rsidRPr="00A1166F" w:rsidRDefault="00A1166F" w:rsidP="00182B74">
      <w:r w:rsidRPr="00A1166F">
        <w:t xml:space="preserve">When </w:t>
      </w:r>
      <w:r>
        <w:t>6dB power imbalance is not guaranteed by the deployment, longer delay is expected than 3ms to activate the SSB-less SCell. Say that the UE has multiple resources to receive and to carry out separate AGC operations towards different RS-s on the two different Cells, we believe that the power imbalance can be handled by the UE is typically up to 25dB.</w:t>
      </w:r>
    </w:p>
    <w:p w14:paraId="6F598F07" w14:textId="3D039031" w:rsidR="00B93D8F" w:rsidRPr="005C2D1C" w:rsidRDefault="00AA4DFB" w:rsidP="00804A4D">
      <w:pPr>
        <w:spacing w:before="240"/>
        <w:rPr>
          <w:b/>
          <w:bCs/>
          <w:i/>
          <w:iCs/>
          <w:u w:val="single"/>
        </w:rPr>
      </w:pPr>
      <w:r w:rsidRPr="005C2D1C">
        <w:rPr>
          <w:b/>
          <w:bCs/>
          <w:i/>
          <w:iCs/>
          <w:u w:val="single"/>
        </w:rPr>
        <w:t>QCL relations among RS-s</w:t>
      </w:r>
    </w:p>
    <w:p w14:paraId="2B06781C" w14:textId="275E8FE6" w:rsidR="00AA4DFB" w:rsidRPr="005C2D1C" w:rsidRDefault="00265ECD" w:rsidP="00182B74">
      <w:r w:rsidRPr="005C2D1C">
        <w:t xml:space="preserve">The primary condition to apply the 3ms activation requirement is that TRS (tracking reference signal, periodic </w:t>
      </w:r>
      <w:proofErr w:type="gramStart"/>
      <w:r w:rsidRPr="005C2D1C">
        <w:t>non zero</w:t>
      </w:r>
      <w:proofErr w:type="gramEnd"/>
      <w:r w:rsidRPr="005C2D1C">
        <w:t xml:space="preserve"> power CSI-RS) has to be guaranteed on the target SCell. Even with intra-band contiguous cases, TRS is required to be transmitted on the target SCell and the TRS </w:t>
      </w:r>
      <w:proofErr w:type="gramStart"/>
      <w:r w:rsidRPr="005C2D1C">
        <w:t>has to</w:t>
      </w:r>
      <w:proofErr w:type="gramEnd"/>
      <w:r w:rsidRPr="005C2D1C">
        <w:t xml:space="preserve"> be </w:t>
      </w:r>
      <w:proofErr w:type="spellStart"/>
      <w:r w:rsidRPr="005C2D1C">
        <w:t>QCLed</w:t>
      </w:r>
      <w:proofErr w:type="spellEnd"/>
      <w:r w:rsidRPr="005C2D1C">
        <w:t xml:space="preserve"> with the SSB transmitted in the other serving cell. </w:t>
      </w:r>
    </w:p>
    <w:p w14:paraId="749AFE1C" w14:textId="708D6BDA" w:rsidR="00265ECD" w:rsidRPr="005C2D1C" w:rsidRDefault="00040C74" w:rsidP="00182B74">
      <w:r w:rsidRPr="005C2D1C">
        <w:t xml:space="preserve">Once TRS is transmitted on the target SCell, the UE </w:t>
      </w:r>
      <w:proofErr w:type="gramStart"/>
      <w:r w:rsidRPr="005C2D1C">
        <w:t>is able to</w:t>
      </w:r>
      <w:proofErr w:type="gramEnd"/>
      <w:r w:rsidRPr="005C2D1C">
        <w:t xml:space="preserve"> use the TRS to carry out frequency/time tracking and CSI measurements and reporting. The performance then is largely guaranteed and that is why in the existing activation requirements for intra-band contiguous CA, TRS is transmitted on the target cell.</w:t>
      </w:r>
    </w:p>
    <w:p w14:paraId="7C6F8825" w14:textId="1C0A35D8" w:rsidR="00040C74" w:rsidRDefault="00040C74" w:rsidP="00182B74">
      <w:pPr>
        <w:rPr>
          <w:b/>
          <w:bCs/>
        </w:rPr>
      </w:pPr>
      <w:r w:rsidRPr="005C2D1C">
        <w:rPr>
          <w:b/>
          <w:bCs/>
        </w:rPr>
        <w:t>Proposal</w:t>
      </w:r>
      <w:r w:rsidR="00732D44" w:rsidRPr="005C2D1C">
        <w:rPr>
          <w:b/>
          <w:bCs/>
        </w:rPr>
        <w:t xml:space="preserve"> </w:t>
      </w:r>
      <w:r w:rsidR="00261370">
        <w:rPr>
          <w:b/>
          <w:bCs/>
        </w:rPr>
        <w:t>1</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0CE70037" w14:textId="172EF56C" w:rsidR="002657AA" w:rsidRDefault="002657AA" w:rsidP="00182B74">
      <w:r>
        <w:t xml:space="preserve">In the last meeting, companies had proposed a scenario where there is not any signal transmitted in DL but only UL. In </w:t>
      </w:r>
      <w:proofErr w:type="gramStart"/>
      <w:r>
        <w:t>general</w:t>
      </w:r>
      <w:proofErr w:type="gramEnd"/>
      <w:r>
        <w:t xml:space="preserve"> this scenario is a UL CA deployment without DL corresponding band in the SCell. This requires the UE to support the </w:t>
      </w:r>
      <w:proofErr w:type="gramStart"/>
      <w:r>
        <w:t>cross carrier</w:t>
      </w:r>
      <w:proofErr w:type="gramEnd"/>
      <w:r>
        <w:t xml:space="preserve"> scheduling capabilities to receive scheduling on </w:t>
      </w:r>
      <w:proofErr w:type="spellStart"/>
      <w:r>
        <w:t>PCell</w:t>
      </w:r>
      <w:proofErr w:type="spellEnd"/>
      <w:r>
        <w:t xml:space="preserve"> but to transmit UL signals on SCell. In this case, the SCell activation requirements are unique compared to what we had in the TS 38.133 spec since we never touched cross carrier scheduling and SCell without DL in the legacy releases.</w:t>
      </w:r>
    </w:p>
    <w:p w14:paraId="7F89DC97" w14:textId="69B0DAFD" w:rsidR="002657AA" w:rsidRDefault="002657AA" w:rsidP="00182B74">
      <w:r>
        <w:t>With this said our view on this scenario is to carry out feasibility study on it to analyse whether we could specify requirements in Rel-18 to enable SSB-less SCell operations.</w:t>
      </w:r>
    </w:p>
    <w:p w14:paraId="3AA494E8" w14:textId="2E4480AB" w:rsidR="00D60861" w:rsidRPr="005C2D1C" w:rsidRDefault="00D60861" w:rsidP="00D60861">
      <w:pPr>
        <w:spacing w:before="240"/>
        <w:rPr>
          <w:b/>
          <w:bCs/>
          <w:i/>
          <w:iCs/>
          <w:u w:val="single"/>
        </w:rPr>
      </w:pPr>
      <w:r>
        <w:rPr>
          <w:b/>
          <w:bCs/>
          <w:i/>
          <w:iCs/>
          <w:u w:val="single"/>
        </w:rPr>
        <w:t>Reference cell indication</w:t>
      </w:r>
    </w:p>
    <w:p w14:paraId="5B287886" w14:textId="555D6CF6" w:rsidR="00D60861" w:rsidRDefault="00D60861" w:rsidP="00182B74">
      <w:r>
        <w:t>The below agreements are reached in the last meeting for reference cell indication.</w:t>
      </w:r>
    </w:p>
    <w:tbl>
      <w:tblPr>
        <w:tblStyle w:val="TableGrid"/>
        <w:tblW w:w="0" w:type="auto"/>
        <w:tblLook w:val="04A0" w:firstRow="1" w:lastRow="0" w:firstColumn="1" w:lastColumn="0" w:noHBand="0" w:noVBand="1"/>
      </w:tblPr>
      <w:tblGrid>
        <w:gridCol w:w="9629"/>
      </w:tblGrid>
      <w:tr w:rsidR="00D60861" w14:paraId="016C91E5" w14:textId="77777777" w:rsidTr="00D60861">
        <w:tc>
          <w:tcPr>
            <w:tcW w:w="9629" w:type="dxa"/>
          </w:tcPr>
          <w:p w14:paraId="2B7ABDBD" w14:textId="77777777" w:rsidR="00D60861" w:rsidRDefault="00D60861" w:rsidP="00D60861">
            <w:pPr>
              <w:rPr>
                <w:rFonts w:eastAsia="MS Mincho"/>
                <w:lang w:eastAsia="ko-KR"/>
              </w:rPr>
            </w:pPr>
            <w:r>
              <w:rPr>
                <w:rFonts w:eastAsia="MS Mincho"/>
                <w:lang w:eastAsia="ko-KR"/>
              </w:rPr>
              <w:t>Agreement:</w:t>
            </w:r>
          </w:p>
          <w:p w14:paraId="1ECDB5A8" w14:textId="77777777" w:rsidR="00D60861" w:rsidRDefault="00D60861" w:rsidP="00D60861">
            <w:pPr>
              <w:pStyle w:val="ListParagraph"/>
              <w:numPr>
                <w:ilvl w:val="0"/>
                <w:numId w:val="37"/>
              </w:numPr>
              <w:spacing w:before="0" w:after="180"/>
              <w:contextualSpacing w:val="0"/>
              <w:textAlignment w:val="auto"/>
              <w:rPr>
                <w:rFonts w:eastAsia="MS Mincho"/>
                <w:lang w:eastAsia="ko-KR"/>
              </w:rPr>
            </w:pPr>
            <w:r>
              <w:rPr>
                <w:lang w:eastAsia="ko-KR"/>
              </w:rPr>
              <w:t xml:space="preserve">Introduce indication from NW to UE to indicate which cell (e.g., PCI, SSB frequency, etc.) is the reference cell. </w:t>
            </w:r>
          </w:p>
          <w:p w14:paraId="54BEB822" w14:textId="77777777" w:rsidR="00D60861" w:rsidRDefault="00D60861" w:rsidP="00D60861">
            <w:pPr>
              <w:pStyle w:val="ListParagraph"/>
              <w:numPr>
                <w:ilvl w:val="0"/>
                <w:numId w:val="37"/>
              </w:numPr>
              <w:spacing w:before="0" w:after="180"/>
              <w:contextualSpacing w:val="0"/>
              <w:textAlignment w:val="auto"/>
              <w:rPr>
                <w:lang w:eastAsia="ko-KR"/>
              </w:rPr>
            </w:pPr>
            <w:r>
              <w:rPr>
                <w:lang w:eastAsia="ko-KR"/>
              </w:rPr>
              <w:t>RAN4 will define “by default cell” as reference cell if the indication is not provided.</w:t>
            </w:r>
          </w:p>
          <w:p w14:paraId="33AAE2D8" w14:textId="77777777" w:rsidR="00D60861" w:rsidRDefault="00D60861" w:rsidP="00D60861">
            <w:pPr>
              <w:pStyle w:val="ListParagraph"/>
              <w:numPr>
                <w:ilvl w:val="0"/>
                <w:numId w:val="37"/>
              </w:numPr>
              <w:spacing w:before="0" w:after="180"/>
              <w:contextualSpacing w:val="0"/>
              <w:textAlignment w:val="auto"/>
              <w:rPr>
                <w:lang w:eastAsia="ko-KR"/>
              </w:rPr>
            </w:pPr>
            <w:r>
              <w:rPr>
                <w:lang w:eastAsia="ko-KR"/>
              </w:rPr>
              <w:t>Reference cell means the timing and AGC source of SSB-less Cell.</w:t>
            </w:r>
          </w:p>
          <w:p w14:paraId="3DCD40ED" w14:textId="77777777" w:rsidR="00D60861" w:rsidRDefault="00D60861" w:rsidP="00D60861">
            <w:pPr>
              <w:pStyle w:val="ListParagraph"/>
              <w:numPr>
                <w:ilvl w:val="1"/>
                <w:numId w:val="37"/>
              </w:numPr>
              <w:spacing w:before="0" w:after="180"/>
              <w:contextualSpacing w:val="0"/>
              <w:textAlignment w:val="auto"/>
              <w:rPr>
                <w:lang w:eastAsia="ko-KR"/>
              </w:rPr>
            </w:pPr>
            <w:r>
              <w:rPr>
                <w:lang w:eastAsia="ko-KR"/>
              </w:rPr>
              <w:t>FFS whether to consider the reference cell and QCL source cell are different.</w:t>
            </w:r>
          </w:p>
          <w:p w14:paraId="06409061" w14:textId="77777777" w:rsidR="00D60861" w:rsidRDefault="00D60861" w:rsidP="00D60861">
            <w:pPr>
              <w:pStyle w:val="ListParagraph"/>
              <w:numPr>
                <w:ilvl w:val="2"/>
                <w:numId w:val="37"/>
              </w:numPr>
              <w:spacing w:before="0" w:after="180"/>
              <w:contextualSpacing w:val="0"/>
              <w:textAlignment w:val="auto"/>
              <w:rPr>
                <w:lang w:eastAsia="ko-KR"/>
              </w:rPr>
            </w:pPr>
            <w:r>
              <w:rPr>
                <w:lang w:eastAsia="ko-KR"/>
              </w:rPr>
              <w:t>Whether QCL is needed will be discussed in other issue.</w:t>
            </w:r>
          </w:p>
          <w:p w14:paraId="75EF8944" w14:textId="77777777" w:rsidR="00D60861" w:rsidRDefault="00D60861" w:rsidP="00D60861">
            <w:pPr>
              <w:pStyle w:val="ListParagraph"/>
              <w:numPr>
                <w:ilvl w:val="0"/>
                <w:numId w:val="37"/>
              </w:numPr>
              <w:spacing w:before="0" w:after="180"/>
              <w:contextualSpacing w:val="0"/>
              <w:textAlignment w:val="auto"/>
              <w:rPr>
                <w:lang w:eastAsia="ko-KR"/>
              </w:rPr>
            </w:pPr>
            <w:r>
              <w:rPr>
                <w:lang w:eastAsia="ko-KR"/>
              </w:rPr>
              <w:t xml:space="preserve">The </w:t>
            </w:r>
            <w:proofErr w:type="gramStart"/>
            <w:r>
              <w:rPr>
                <w:lang w:eastAsia="ko-KR"/>
              </w:rPr>
              <w:t>details</w:t>
            </w:r>
            <w:proofErr w:type="gramEnd"/>
            <w:r>
              <w:rPr>
                <w:lang w:eastAsia="ko-KR"/>
              </w:rPr>
              <w:t xml:space="preserve"> of the signalling is up to RAN2.</w:t>
            </w:r>
          </w:p>
          <w:p w14:paraId="0171E01B" w14:textId="77777777" w:rsidR="00D60861" w:rsidRDefault="00D60861" w:rsidP="00D60861">
            <w:pPr>
              <w:pStyle w:val="ListParagraph"/>
              <w:numPr>
                <w:ilvl w:val="0"/>
                <w:numId w:val="37"/>
              </w:numPr>
              <w:spacing w:before="0" w:after="180"/>
              <w:contextualSpacing w:val="0"/>
              <w:textAlignment w:val="auto"/>
              <w:rPr>
                <w:lang w:eastAsia="ko-KR"/>
              </w:rPr>
            </w:pPr>
            <w:r>
              <w:rPr>
                <w:lang w:eastAsia="ko-KR"/>
              </w:rPr>
              <w:t>If the reference cell is an SCell, it should be activated.</w:t>
            </w:r>
          </w:p>
          <w:p w14:paraId="258F318C" w14:textId="23DBB24C" w:rsidR="00D60861" w:rsidRDefault="00D60861" w:rsidP="00182B74">
            <w:pPr>
              <w:pStyle w:val="ListParagraph"/>
              <w:numPr>
                <w:ilvl w:val="0"/>
                <w:numId w:val="37"/>
              </w:numPr>
              <w:spacing w:before="0" w:after="180"/>
              <w:contextualSpacing w:val="0"/>
              <w:textAlignment w:val="auto"/>
              <w:rPr>
                <w:lang w:eastAsia="ko-KR"/>
              </w:rPr>
            </w:pPr>
            <w:r>
              <w:rPr>
                <w:lang w:eastAsia="ko-KR"/>
              </w:rPr>
              <w:t>RAN4 FFS the conditions for reference cell. (</w:t>
            </w:r>
            <w:proofErr w:type="gramStart"/>
            <w:r>
              <w:rPr>
                <w:lang w:eastAsia="ko-KR"/>
              </w:rPr>
              <w:t>e.g.</w:t>
            </w:r>
            <w:proofErr w:type="gramEnd"/>
            <w:r>
              <w:rPr>
                <w:lang w:eastAsia="ko-KR"/>
              </w:rPr>
              <w:t xml:space="preserve"> activated SCell)</w:t>
            </w:r>
          </w:p>
        </w:tc>
      </w:tr>
    </w:tbl>
    <w:p w14:paraId="73E4E193" w14:textId="6B46D2E8" w:rsidR="00D60861" w:rsidRDefault="00D60861" w:rsidP="00182B74">
      <w:r>
        <w:t>The general idea of this fast SCell activation process is to facilitate the UE relying on serving cell parameters (time/</w:t>
      </w:r>
      <w:r w:rsidR="0021428A">
        <w:t>frequency/</w:t>
      </w:r>
      <w:r>
        <w:t xml:space="preserve">spatial parameters) and using them on the target SCell to activate it without acquiring the needed parameters </w:t>
      </w:r>
      <w:r w:rsidR="0021428A">
        <w:t xml:space="preserve">through any SSB transmitted. When there are multiple active serving cells for the UE to choose the reference cell from, RAN4 agreed to introduce a network indication to the UE to guide on the choice. By the knowledge of the deployment, the network should indicate the correct reference serving cell to the UE to guarantee the correlation between the reference cell and the target SSB-less SCell in terms of time, </w:t>
      </w:r>
      <w:proofErr w:type="gramStart"/>
      <w:r w:rsidR="0021428A">
        <w:t>frequency</w:t>
      </w:r>
      <w:proofErr w:type="gramEnd"/>
      <w:r w:rsidR="0021428A">
        <w:t xml:space="preserve"> and spatial parameters.  </w:t>
      </w:r>
    </w:p>
    <w:p w14:paraId="754FD88E" w14:textId="254ADA1E" w:rsidR="00B206C3" w:rsidRDefault="00B206C3" w:rsidP="00182B74">
      <w:r>
        <w:t>In our understanding, the network should guarantee resemblance between the indicated reference cell and the target cell in terms of all the related parameters. This means that the UE directly use the parameters of the indicated reference cell on the activation of the target cell to accomplish the procedure real fast and try to acquire those parameters afterwards on the target SCell. The parameters should include not only timing and AGC parameters, but also the QCL relations. This is to say, the network should guarantee QCL relation between target cell scheduling and reference cell reference signals.</w:t>
      </w:r>
    </w:p>
    <w:p w14:paraId="30DC0D43" w14:textId="4EC05FE8" w:rsidR="00B206C3" w:rsidRPr="00261370" w:rsidRDefault="00B206C3" w:rsidP="00182B74">
      <w:pPr>
        <w:rPr>
          <w:b/>
          <w:bCs/>
        </w:rPr>
      </w:pPr>
      <w:r w:rsidRPr="00261370">
        <w:rPr>
          <w:b/>
          <w:bCs/>
        </w:rPr>
        <w:lastRenderedPageBreak/>
        <w:t>Proposal</w:t>
      </w:r>
      <w:r w:rsidR="00261370" w:rsidRPr="00261370">
        <w:rPr>
          <w:b/>
          <w:bCs/>
        </w:rPr>
        <w:t xml:space="preserve"> 2</w:t>
      </w:r>
      <w:r w:rsidRPr="00261370">
        <w:rPr>
          <w:b/>
          <w:bCs/>
        </w:rPr>
        <w:t>: There is no activation requirement applicable to the UE if the indicated reference cell does not transmit the QCL source of the target SCell scheduling.</w:t>
      </w:r>
    </w:p>
    <w:p w14:paraId="0A032F9E" w14:textId="14A39FD8" w:rsidR="00693D73" w:rsidRPr="006100EE" w:rsidRDefault="00693D73" w:rsidP="00693D73">
      <w:pPr>
        <w:pStyle w:val="Heading2"/>
        <w:tabs>
          <w:tab w:val="num" w:pos="567"/>
        </w:tabs>
        <w:ind w:left="567"/>
      </w:pPr>
      <w:r w:rsidRPr="006100EE">
        <w:t>UE feature groups for SSB-less SCell activation</w:t>
      </w:r>
    </w:p>
    <w:p w14:paraId="4B75AAA8" w14:textId="11238877" w:rsidR="00693D73" w:rsidRPr="006100EE" w:rsidRDefault="00693D73" w:rsidP="00693D73">
      <w:pPr>
        <w:rPr>
          <w:lang w:eastAsia="ja-JP" w:bidi="hi-IN"/>
        </w:rPr>
      </w:pPr>
      <w:r w:rsidRPr="006100EE">
        <w:rPr>
          <w:lang w:eastAsia="ja-JP" w:bidi="hi-IN"/>
        </w:rPr>
        <w:t xml:space="preserve">We propose that RAN4 introduces the UE feature group for optionally supporting SSB-less </w:t>
      </w:r>
      <w:r w:rsidR="00CF1914" w:rsidRPr="006100EE">
        <w:rPr>
          <w:lang w:eastAsia="ja-JP" w:bidi="hi-IN"/>
        </w:rPr>
        <w:t xml:space="preserve">inter-band </w:t>
      </w:r>
      <w:r w:rsidRPr="006100EE">
        <w:rPr>
          <w:lang w:eastAsia="ja-JP" w:bidi="hi-IN"/>
        </w:rPr>
        <w:t xml:space="preserve">SCell activation with capability signalling and </w:t>
      </w:r>
      <w:r w:rsidR="006100EE" w:rsidRPr="006100EE">
        <w:rPr>
          <w:lang w:eastAsia="ja-JP" w:bidi="hi-IN"/>
        </w:rPr>
        <w:t>per feature set (</w:t>
      </w:r>
      <w:r w:rsidRPr="006100EE">
        <w:rPr>
          <w:lang w:eastAsia="ja-JP" w:bidi="hi-IN"/>
        </w:rPr>
        <w:t xml:space="preserve">per </w:t>
      </w:r>
      <w:r w:rsidR="00CF1914" w:rsidRPr="006100EE">
        <w:rPr>
          <w:lang w:eastAsia="ja-JP" w:bidi="hi-IN"/>
        </w:rPr>
        <w:t xml:space="preserve">band per </w:t>
      </w:r>
      <w:r w:rsidRPr="006100EE">
        <w:rPr>
          <w:lang w:eastAsia="ja-JP" w:bidi="hi-IN"/>
        </w:rPr>
        <w:t>band combination</w:t>
      </w:r>
      <w:r w:rsidR="006100EE" w:rsidRPr="006100EE">
        <w:rPr>
          <w:lang w:eastAsia="ja-JP" w:bidi="hi-IN"/>
        </w:rPr>
        <w:t>)</w:t>
      </w:r>
      <w:r w:rsidRPr="006100EE">
        <w:rPr>
          <w:lang w:eastAsia="ja-JP" w:bidi="hi-IN"/>
        </w:rPr>
        <w:t xml:space="preserve"> indication. This new indication should be a separate element/vector from the existing </w:t>
      </w:r>
      <w:proofErr w:type="spellStart"/>
      <w:r w:rsidRPr="006100EE">
        <w:rPr>
          <w:i/>
          <w:iCs/>
          <w:lang w:eastAsia="ja-JP" w:bidi="hi-IN"/>
        </w:rPr>
        <w:t>SCellwithoutSSB</w:t>
      </w:r>
      <w:proofErr w:type="spellEnd"/>
      <w:r w:rsidRPr="006100EE">
        <w:rPr>
          <w:lang w:eastAsia="ja-JP" w:bidi="hi-IN"/>
        </w:rPr>
        <w:t>.</w:t>
      </w:r>
    </w:p>
    <w:p w14:paraId="34EE6BC6" w14:textId="77777777" w:rsidR="00E65832" w:rsidRDefault="00693D73" w:rsidP="009861E1">
      <w:pPr>
        <w:rPr>
          <w:lang w:val="en-US"/>
        </w:rPr>
      </w:pPr>
      <w:r w:rsidRPr="006100EE">
        <w:rPr>
          <w:b/>
          <w:bCs/>
          <w:lang w:eastAsia="ja-JP" w:bidi="hi-IN"/>
        </w:rPr>
        <w:t xml:space="preserve">Proposal 3: Introduce the optional with capability signalling per </w:t>
      </w:r>
      <w:r w:rsidR="006100EE" w:rsidRPr="006100EE">
        <w:rPr>
          <w:b/>
          <w:bCs/>
          <w:lang w:eastAsia="ja-JP" w:bidi="hi-IN"/>
        </w:rPr>
        <w:t>FS</w:t>
      </w:r>
      <w:r w:rsidRPr="006100EE">
        <w:rPr>
          <w:b/>
          <w:bCs/>
          <w:lang w:eastAsia="ja-JP" w:bidi="hi-IN"/>
        </w:rPr>
        <w:t xml:space="preserve"> indication of UE supporting </w:t>
      </w:r>
      <w:r w:rsidR="00D2627F">
        <w:rPr>
          <w:b/>
          <w:bCs/>
          <w:lang w:eastAsia="ja-JP" w:bidi="hi-IN"/>
        </w:rPr>
        <w:t xml:space="preserve">inter-band </w:t>
      </w:r>
      <w:r w:rsidRPr="006100EE">
        <w:rPr>
          <w:b/>
          <w:bCs/>
          <w:lang w:eastAsia="ja-JP" w:bidi="hi-IN"/>
        </w:rPr>
        <w:t>SSB-less SCell activation in Rel-18.</w:t>
      </w:r>
      <w:r w:rsidR="00E65832" w:rsidRPr="004778BC">
        <w:rPr>
          <w:lang w:val="en-US"/>
        </w:rPr>
        <w:t xml:space="preserve"> </w:t>
      </w:r>
    </w:p>
    <w:p w14:paraId="39A95BDA" w14:textId="77777777" w:rsidR="000B0577" w:rsidRPr="0071302A" w:rsidRDefault="000B0577" w:rsidP="000B0577">
      <w:pPr>
        <w:jc w:val="both"/>
        <w:rPr>
          <w:lang w:val="en-US"/>
        </w:rPr>
      </w:pPr>
      <w:r>
        <w:rPr>
          <w:lang w:val="en-US"/>
        </w:rPr>
        <w:t>Our views on RAN4-centric features</w:t>
      </w:r>
      <w:r w:rsidRPr="0071302A">
        <w:rPr>
          <w:lang w:val="en-US"/>
        </w:rPr>
        <w:t xml:space="preserve"> </w:t>
      </w:r>
      <w:r>
        <w:rPr>
          <w:lang w:val="en-US"/>
        </w:rPr>
        <w:t xml:space="preserve">for the </w:t>
      </w:r>
      <w:proofErr w:type="spellStart"/>
      <w:r w:rsidRPr="00E74E3C">
        <w:rPr>
          <w:lang w:val="en-US"/>
        </w:rPr>
        <w:t>Netw_Energy_NR</w:t>
      </w:r>
      <w:proofErr w:type="spellEnd"/>
      <w:r w:rsidRPr="0071302A">
        <w:rPr>
          <w:lang w:val="en-US"/>
        </w:rPr>
        <w:t xml:space="preserve"> WI</w:t>
      </w:r>
      <w:r>
        <w:rPr>
          <w:lang w:val="en-US"/>
        </w:rPr>
        <w:t xml:space="preserve"> </w:t>
      </w:r>
      <w:r w:rsidRPr="0071302A">
        <w:rPr>
          <w:lang w:val="en-US"/>
        </w:rPr>
        <w:t>[</w:t>
      </w:r>
      <w:r>
        <w:rPr>
          <w:lang w:val="en-US"/>
        </w:rPr>
        <w:t xml:space="preserve">WID </w:t>
      </w:r>
      <w:r w:rsidRPr="00E41D63">
        <w:rPr>
          <w:lang w:val="en-US"/>
        </w:rPr>
        <w:t>RP-</w:t>
      </w:r>
      <w:r w:rsidRPr="0071302A">
        <w:rPr>
          <w:lang w:val="en-US"/>
        </w:rPr>
        <w:t>2</w:t>
      </w:r>
      <w:r>
        <w:rPr>
          <w:lang w:val="en-US"/>
        </w:rPr>
        <w:t>30566</w:t>
      </w:r>
      <w:r w:rsidRPr="0071302A">
        <w:rPr>
          <w:lang w:val="en-US"/>
        </w:rPr>
        <w:t>]</w:t>
      </w:r>
      <w:r>
        <w:rPr>
          <w:lang w:val="en-US"/>
        </w:rPr>
        <w:t xml:space="preserve"> </w:t>
      </w:r>
      <w:r w:rsidRPr="0071302A">
        <w:rPr>
          <w:lang w:val="en-US"/>
        </w:rPr>
        <w:t>are</w:t>
      </w:r>
      <w:r>
        <w:rPr>
          <w:lang w:val="en-US"/>
        </w:rPr>
        <w:t xml:space="preserve"> provided below and </w:t>
      </w:r>
      <w:r w:rsidRPr="0071302A">
        <w:rPr>
          <w:lang w:val="en-US"/>
        </w:rPr>
        <w:t xml:space="preserve">in </w:t>
      </w:r>
      <w:r>
        <w:rPr>
          <w:lang w:val="en-US"/>
        </w:rPr>
        <w:fldChar w:fldCharType="begin"/>
      </w:r>
      <w:r>
        <w:rPr>
          <w:lang w:val="en-US"/>
        </w:rPr>
        <w:instrText xml:space="preserve"> REF _Ref149894333 \h </w:instrText>
      </w:r>
      <w:r>
        <w:rPr>
          <w:lang w:val="en-US"/>
        </w:rPr>
      </w:r>
      <w:r>
        <w:rPr>
          <w:lang w:val="en-US"/>
        </w:rPr>
        <w:fldChar w:fldCharType="separate"/>
      </w:r>
      <w:r>
        <w:rPr>
          <w:lang w:val="en-US"/>
        </w:rPr>
        <w:fldChar w:fldCharType="end"/>
      </w:r>
      <w:r>
        <w:rPr>
          <w:lang w:val="en-US"/>
        </w:rPr>
        <w:fldChar w:fldCharType="begin"/>
      </w:r>
      <w:r>
        <w:rPr>
          <w:lang w:val="en-US"/>
        </w:rPr>
        <w:instrText xml:space="preserve"> REF _Ref149816831 \h </w:instrText>
      </w:r>
      <w:r>
        <w:rPr>
          <w:lang w:val="en-US"/>
        </w:rPr>
      </w:r>
      <w:r>
        <w:rPr>
          <w:lang w:val="en-US"/>
        </w:rPr>
        <w:fldChar w:fldCharType="separate"/>
      </w:r>
      <w:r>
        <w:t xml:space="preserve">Table </w:t>
      </w:r>
      <w:r>
        <w:rPr>
          <w:noProof/>
        </w:rPr>
        <w:t>1</w:t>
      </w:r>
      <w:r>
        <w:rPr>
          <w:lang w:val="en-US"/>
        </w:rPr>
        <w:fldChar w:fldCharType="end"/>
      </w:r>
      <w:r w:rsidRPr="0071302A">
        <w:rPr>
          <w:lang w:val="en-US"/>
        </w:rPr>
        <w:t>.</w:t>
      </w:r>
    </w:p>
    <w:p w14:paraId="31359AA1" w14:textId="77777777" w:rsidR="000B0577" w:rsidRPr="004778BC" w:rsidRDefault="000B0577" w:rsidP="000B0577">
      <w:pPr>
        <w:keepNext/>
        <w:spacing w:before="240"/>
        <w:jc w:val="both"/>
        <w:rPr>
          <w:b/>
          <w:bCs/>
          <w:u w:val="single"/>
          <w:lang w:val="en-US"/>
        </w:rPr>
      </w:pPr>
      <w:r w:rsidRPr="004778BC">
        <w:rPr>
          <w:b/>
          <w:bCs/>
          <w:u w:val="single"/>
          <w:lang w:val="en-US"/>
        </w:rPr>
        <w:t>Obj</w:t>
      </w:r>
      <w:r>
        <w:rPr>
          <w:b/>
          <w:bCs/>
          <w:u w:val="single"/>
          <w:lang w:val="en-US"/>
        </w:rPr>
        <w:t>ective #</w:t>
      </w:r>
      <w:r w:rsidRPr="004778BC">
        <w:rPr>
          <w:b/>
          <w:bCs/>
          <w:u w:val="single"/>
          <w:lang w:val="en-US"/>
        </w:rPr>
        <w:t>1: SSB-less operation for NR FR1 inter-band CA</w:t>
      </w:r>
    </w:p>
    <w:p w14:paraId="7079E38F" w14:textId="77777777" w:rsidR="000B0577" w:rsidRPr="004778BC" w:rsidRDefault="000B0577" w:rsidP="000B0577">
      <w:pPr>
        <w:jc w:val="both"/>
        <w:rPr>
          <w:lang w:val="en-US"/>
        </w:rPr>
      </w:pPr>
      <w:r w:rsidRPr="004778BC">
        <w:rPr>
          <w:lang w:val="en-US"/>
        </w:rPr>
        <w:t>For SSB-less SCell operation RAN4 agreed to introduce a single set of RRM requirements covering different RTD and power imbalance conditions for NR FR1 inter-band CA scenarios. Based on latest RAN4 discussions we propose to introduce a single UE feature to “Support SCell without SS/PBCH block for NR FR1 inter-band [and intra-band non-contiguous] CA”</w:t>
      </w:r>
    </w:p>
    <w:p w14:paraId="0F1BD352" w14:textId="77777777" w:rsidR="000B0577" w:rsidRPr="004778BC" w:rsidRDefault="000B0577" w:rsidP="000B0577">
      <w:pPr>
        <w:pStyle w:val="ListParagraph"/>
        <w:numPr>
          <w:ilvl w:val="0"/>
          <w:numId w:val="38"/>
        </w:numPr>
        <w:contextualSpacing w:val="0"/>
        <w:jc w:val="both"/>
        <w:rPr>
          <w:lang w:val="en-US"/>
        </w:rPr>
      </w:pPr>
      <w:r w:rsidRPr="004778BC">
        <w:rPr>
          <w:lang w:val="en-US"/>
        </w:rPr>
        <w:t>The overall description of the feature is recommended to be aligned as much as possible with the existing Rel-15 RAN1 feature 1-10 “Support SCell without SS/PBCH block” (TR 38.822).</w:t>
      </w:r>
    </w:p>
    <w:p w14:paraId="3986B9B2" w14:textId="77777777" w:rsidR="000B0577" w:rsidRPr="004778BC" w:rsidRDefault="000B0577" w:rsidP="000B0577">
      <w:pPr>
        <w:pStyle w:val="ListParagraph"/>
        <w:numPr>
          <w:ilvl w:val="0"/>
          <w:numId w:val="38"/>
        </w:numPr>
        <w:contextualSpacing w:val="0"/>
        <w:jc w:val="both"/>
        <w:rPr>
          <w:lang w:val="en-US"/>
        </w:rPr>
      </w:pPr>
      <w:r w:rsidRPr="004778BC">
        <w:rPr>
          <w:lang w:val="en-US"/>
        </w:rPr>
        <w:t>No pre-requisite features shall be considered, since the Rel-15 SSB-less SCell feature is appliable to intra-band</w:t>
      </w:r>
      <w:r>
        <w:rPr>
          <w:lang w:val="en-US"/>
        </w:rPr>
        <w:t xml:space="preserve"> </w:t>
      </w:r>
      <w:r w:rsidRPr="004778BC">
        <w:rPr>
          <w:lang w:val="en-US"/>
        </w:rPr>
        <w:t>contiguous CA and the new feature is introduced for inter-band CA.</w:t>
      </w:r>
    </w:p>
    <w:p w14:paraId="008EB164" w14:textId="77777777" w:rsidR="000B0577" w:rsidRPr="004778BC" w:rsidRDefault="000B0577" w:rsidP="000B0577">
      <w:pPr>
        <w:pStyle w:val="ListParagraph"/>
        <w:numPr>
          <w:ilvl w:val="0"/>
          <w:numId w:val="38"/>
        </w:numPr>
        <w:contextualSpacing w:val="0"/>
        <w:jc w:val="both"/>
        <w:rPr>
          <w:lang w:val="en-US"/>
        </w:rPr>
      </w:pPr>
      <w:r w:rsidRPr="004778BC">
        <w:rPr>
          <w:lang w:val="en-US"/>
        </w:rPr>
        <w:t xml:space="preserve">Per-FS capability granularity is suggested same as for existing Rel-15 feature “Support SCell without SS/PBCH block”. </w:t>
      </w:r>
    </w:p>
    <w:p w14:paraId="7D3806FE" w14:textId="77777777" w:rsidR="000B0577" w:rsidRPr="004778BC" w:rsidRDefault="000B0577" w:rsidP="000B0577">
      <w:pPr>
        <w:pStyle w:val="ListParagraph"/>
        <w:numPr>
          <w:ilvl w:val="0"/>
          <w:numId w:val="38"/>
        </w:numPr>
        <w:contextualSpacing w:val="0"/>
        <w:jc w:val="both"/>
        <w:rPr>
          <w:lang w:val="en-US"/>
        </w:rPr>
      </w:pPr>
      <w:r w:rsidRPr="004778BC">
        <w:rPr>
          <w:lang w:val="en-US"/>
        </w:rPr>
        <w:t xml:space="preserve">Additional discussion in RRM session is needed </w:t>
      </w:r>
      <w:r>
        <w:rPr>
          <w:lang w:val="en-US"/>
        </w:rPr>
        <w:t xml:space="preserve">on </w:t>
      </w:r>
      <w:r w:rsidRPr="004778BC">
        <w:rPr>
          <w:lang w:val="en-US"/>
        </w:rPr>
        <w:t xml:space="preserve">whether to introduce additional requirements and to extend the capability to intra-band non-contiguous CA scenario. Meantime, we recommend </w:t>
      </w:r>
      <w:r>
        <w:rPr>
          <w:lang w:val="en-US"/>
        </w:rPr>
        <w:t>defining</w:t>
      </w:r>
      <w:r w:rsidRPr="004778BC">
        <w:rPr>
          <w:lang w:val="en-US"/>
        </w:rPr>
        <w:t xml:space="preserve"> the feature in a generic manner to be applicable to both inter-band and intra-band non-contiguous CA cases.</w:t>
      </w:r>
    </w:p>
    <w:p w14:paraId="69712AEB" w14:textId="77777777" w:rsidR="000B0577" w:rsidRPr="00E74E3C" w:rsidRDefault="000B0577" w:rsidP="000B0577">
      <w:pPr>
        <w:keepNext/>
        <w:spacing w:before="240"/>
        <w:jc w:val="both"/>
        <w:rPr>
          <w:b/>
          <w:bCs/>
          <w:u w:val="single"/>
          <w:lang w:val="en-US"/>
        </w:rPr>
      </w:pPr>
      <w:r>
        <w:rPr>
          <w:b/>
          <w:bCs/>
          <w:u w:val="single"/>
          <w:lang w:val="en-US"/>
        </w:rPr>
        <w:t>Other objectives</w:t>
      </w:r>
    </w:p>
    <w:p w14:paraId="4D2B8A6B" w14:textId="35886D49" w:rsidR="000B0577" w:rsidRPr="009861E1" w:rsidRDefault="000B0577" w:rsidP="000B0577">
      <w:pPr>
        <w:rPr>
          <w:b/>
          <w:bCs/>
          <w:lang w:eastAsia="ja-JP" w:bidi="hi-IN"/>
        </w:rPr>
        <w:sectPr w:rsidR="000B0577" w:rsidRPr="009861E1"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pPr>
      <w:r w:rsidRPr="00E74E3C">
        <w:rPr>
          <w:lang w:val="en-US"/>
        </w:rPr>
        <w:t xml:space="preserve">Other WU objectives are in the scope of other </w:t>
      </w:r>
      <w:proofErr w:type="gramStart"/>
      <w:r w:rsidRPr="00E74E3C">
        <w:rPr>
          <w:lang w:val="en-US"/>
        </w:rPr>
        <w:t>WGs</w:t>
      </w:r>
      <w:proofErr w:type="gramEnd"/>
      <w:r w:rsidRPr="00E74E3C">
        <w:rPr>
          <w:lang w:val="en-US"/>
        </w:rPr>
        <w:t xml:space="preserve"> and we don’t think that any new RAN4-sepecifc features need to be introduced.</w:t>
      </w:r>
    </w:p>
    <w:p w14:paraId="5532CBF9" w14:textId="28124757" w:rsidR="002501AB" w:rsidRPr="00E74E3C" w:rsidRDefault="002501AB" w:rsidP="002501AB">
      <w:pPr>
        <w:jc w:val="both"/>
        <w:rPr>
          <w:lang w:val="en-US"/>
        </w:rPr>
      </w:pPr>
      <w:r w:rsidRPr="00E74E3C">
        <w:rPr>
          <w:lang w:val="en-US"/>
        </w:rPr>
        <w:lastRenderedPageBreak/>
        <w:t xml:space="preserve"> </w:t>
      </w:r>
    </w:p>
    <w:p w14:paraId="18C80459" w14:textId="01DB8F35" w:rsidR="002501AB" w:rsidRPr="0037072D" w:rsidRDefault="002501AB" w:rsidP="002501AB">
      <w:pPr>
        <w:pStyle w:val="Caption"/>
        <w:keepNext/>
        <w:rPr>
          <w:lang w:val="en-US"/>
        </w:rPr>
      </w:pPr>
      <w:bookmarkStart w:id="2" w:name="_Ref149816831"/>
      <w:bookmarkStart w:id="3" w:name="_Ref149894333"/>
      <w:r>
        <w:t xml:space="preserve">Table </w:t>
      </w:r>
      <w:r>
        <w:fldChar w:fldCharType="begin"/>
      </w:r>
      <w:r>
        <w:instrText xml:space="preserve"> SEQ Table \* ARABIC </w:instrText>
      </w:r>
      <w:r>
        <w:fldChar w:fldCharType="separate"/>
      </w:r>
      <w:r>
        <w:rPr>
          <w:noProof/>
        </w:rPr>
        <w:t>1</w:t>
      </w:r>
      <w:r>
        <w:rPr>
          <w:noProof/>
        </w:rPr>
        <w:fldChar w:fldCharType="end"/>
      </w:r>
      <w:bookmarkEnd w:id="2"/>
      <w:r>
        <w:rPr>
          <w:lang w:val="en-US"/>
        </w:rPr>
        <w:t xml:space="preserve">. Rel-18 NR UE features for </w:t>
      </w:r>
      <w:proofErr w:type="spellStart"/>
      <w:r w:rsidRPr="0037072D">
        <w:rPr>
          <w:lang w:val="en-US"/>
        </w:rPr>
        <w:t>Netw_Energy_NR</w:t>
      </w:r>
      <w:proofErr w:type="spellEnd"/>
      <w:r>
        <w:rPr>
          <w:lang w:val="en-US"/>
        </w:rPr>
        <w:t xml:space="preserve"> WI.</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501AB" w14:paraId="3243A909" w14:textId="77777777" w:rsidTr="00040EC8">
        <w:trPr>
          <w:trHeight w:val="20"/>
        </w:trPr>
        <w:tc>
          <w:tcPr>
            <w:tcW w:w="1129" w:type="dxa"/>
            <w:shd w:val="clear" w:color="auto" w:fill="auto"/>
          </w:tcPr>
          <w:p w14:paraId="4C5B8B98"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F072813"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099434A"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2B70E08" w14:textId="77777777" w:rsidR="002501AB" w:rsidRDefault="002501AB" w:rsidP="00040EC8">
            <w:pPr>
              <w:keepNext/>
              <w:keepLines/>
              <w:jc w:val="center"/>
              <w:rPr>
                <w:rFonts w:ascii="Arial" w:hAnsi="Arial" w:cs="Arial"/>
                <w:b/>
                <w:color w:val="000000"/>
                <w:sz w:val="18"/>
                <w:lang w:eastAsia="zh-CN"/>
              </w:rPr>
            </w:pPr>
            <w:r>
              <w:rPr>
                <w:rFonts w:ascii="Arial" w:eastAsia="Times New Roman" w:hAnsi="Arial" w:cs="Arial"/>
                <w:b/>
                <w:color w:val="000000"/>
                <w:sz w:val="18"/>
              </w:rPr>
              <w:t>Components</w:t>
            </w:r>
          </w:p>
          <w:p w14:paraId="13A1F977" w14:textId="77777777" w:rsidR="002501AB" w:rsidRDefault="002501AB" w:rsidP="00040EC8">
            <w:pPr>
              <w:keepNext/>
              <w:keepLines/>
              <w:jc w:val="center"/>
              <w:rPr>
                <w:rFonts w:ascii="Arial" w:hAnsi="Arial" w:cs="Arial"/>
                <w:b/>
                <w:color w:val="000000"/>
                <w:sz w:val="18"/>
                <w:lang w:eastAsia="zh-CN"/>
              </w:rPr>
            </w:pPr>
          </w:p>
        </w:tc>
        <w:tc>
          <w:tcPr>
            <w:tcW w:w="1560" w:type="dxa"/>
            <w:shd w:val="clear" w:color="auto" w:fill="auto"/>
          </w:tcPr>
          <w:p w14:paraId="47EBFDD2"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3752A3B"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0E1FFCA" w14:textId="77777777" w:rsidR="002501AB" w:rsidRDefault="002501AB" w:rsidP="00040EC8">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91EA080" w14:textId="77777777" w:rsidR="002501AB" w:rsidRDefault="002501AB" w:rsidP="00040EC8">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27005094" w14:textId="77777777" w:rsidR="002501AB" w:rsidRDefault="002501AB" w:rsidP="00040EC8">
            <w:pPr>
              <w:keepNext/>
              <w:keepLines/>
              <w:rPr>
                <w:rFonts w:ascii="Arial" w:hAnsi="Arial" w:cs="Arial"/>
                <w:b/>
                <w:color w:val="000000"/>
                <w:sz w:val="18"/>
              </w:rPr>
            </w:pPr>
            <w:r>
              <w:rPr>
                <w:rFonts w:ascii="Arial" w:hAnsi="Arial" w:cs="Arial"/>
                <w:b/>
                <w:color w:val="000000"/>
                <w:sz w:val="18"/>
              </w:rPr>
              <w:t>Type</w:t>
            </w:r>
          </w:p>
          <w:p w14:paraId="5220095E" w14:textId="77777777" w:rsidR="002501AB" w:rsidRDefault="002501AB" w:rsidP="00040EC8">
            <w:pPr>
              <w:keepNext/>
              <w:keepLines/>
              <w:rPr>
                <w:rFonts w:ascii="Arial" w:hAnsi="Arial" w:cs="Arial"/>
                <w:b/>
                <w:color w:val="000000"/>
                <w:sz w:val="18"/>
              </w:rPr>
            </w:pPr>
          </w:p>
        </w:tc>
        <w:tc>
          <w:tcPr>
            <w:tcW w:w="992" w:type="dxa"/>
            <w:shd w:val="clear" w:color="auto" w:fill="auto"/>
          </w:tcPr>
          <w:p w14:paraId="32143F8E"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DD6ED59"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5C431A"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3871921"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0DBFB47"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2501AB" w14:paraId="43642C3A" w14:textId="77777777" w:rsidTr="00040EC8">
        <w:trPr>
          <w:trHeight w:val="363"/>
        </w:trPr>
        <w:tc>
          <w:tcPr>
            <w:tcW w:w="1129" w:type="dxa"/>
            <w:shd w:val="clear" w:color="auto" w:fill="auto"/>
          </w:tcPr>
          <w:p w14:paraId="68B89ABB" w14:textId="77777777" w:rsidR="002501AB" w:rsidRDefault="002501AB" w:rsidP="00040EC8">
            <w:pPr>
              <w:snapToGrid w:val="0"/>
              <w:rPr>
                <w:rFonts w:ascii="Arial" w:hAnsi="Arial" w:cs="Arial"/>
                <w:color w:val="000000"/>
                <w:sz w:val="18"/>
                <w:lang w:val="en-US" w:eastAsia="zh-CN"/>
              </w:rPr>
            </w:pPr>
            <w:r>
              <w:rPr>
                <w:rFonts w:ascii="Arial" w:hAnsi="Arial" w:cs="Arial"/>
                <w:color w:val="000000"/>
                <w:sz w:val="18"/>
                <w:lang w:val="en-US" w:eastAsia="zh-CN"/>
              </w:rPr>
              <w:t>42.</w:t>
            </w:r>
          </w:p>
          <w:p w14:paraId="0D14D752" w14:textId="77777777" w:rsidR="002501AB" w:rsidRPr="00CA6896" w:rsidRDefault="002501AB" w:rsidP="00040EC8">
            <w:pPr>
              <w:keepNext/>
              <w:keepLines/>
              <w:tabs>
                <w:tab w:val="left" w:pos="426"/>
              </w:tabs>
              <w:jc w:val="both"/>
              <w:outlineLvl w:val="0"/>
              <w:rPr>
                <w:rFonts w:ascii="Arial" w:eastAsia="Batang" w:hAnsi="Arial" w:cs="Arial"/>
                <w:sz w:val="28"/>
                <w:szCs w:val="28"/>
                <w:lang w:val="en-US" w:eastAsia="ko-KR"/>
              </w:rPr>
            </w:pPr>
            <w:proofErr w:type="spellStart"/>
            <w:r w:rsidRPr="00376830">
              <w:rPr>
                <w:rFonts w:ascii="Arial" w:eastAsiaTheme="minorEastAsia" w:hAnsi="Arial" w:cs="Arial"/>
                <w:sz w:val="18"/>
                <w:szCs w:val="18"/>
              </w:rPr>
              <w:t>Netw_Energy_NR</w:t>
            </w:r>
            <w:proofErr w:type="spellEnd"/>
          </w:p>
        </w:tc>
        <w:tc>
          <w:tcPr>
            <w:tcW w:w="709" w:type="dxa"/>
            <w:shd w:val="clear" w:color="auto" w:fill="auto"/>
          </w:tcPr>
          <w:p w14:paraId="73952107" w14:textId="77777777" w:rsidR="002501AB" w:rsidRPr="00192B25" w:rsidRDefault="002501AB" w:rsidP="00040EC8">
            <w:pPr>
              <w:keepNext/>
              <w:keepLines/>
              <w:rPr>
                <w:rFonts w:ascii="Arial" w:eastAsiaTheme="minorEastAsia" w:hAnsi="Arial" w:cs="Arial"/>
                <w:bCs/>
                <w:color w:val="000000"/>
                <w:sz w:val="18"/>
                <w:lang w:eastAsia="zh-CN"/>
              </w:rPr>
            </w:pPr>
            <w:r>
              <w:rPr>
                <w:rFonts w:ascii="Arial" w:eastAsiaTheme="minorEastAsia" w:hAnsi="Arial" w:cs="Arial"/>
                <w:bCs/>
                <w:color w:val="000000"/>
                <w:sz w:val="18"/>
                <w:lang w:eastAsia="zh-CN"/>
              </w:rPr>
              <w:t>42</w:t>
            </w:r>
            <w:r w:rsidRPr="00192B25">
              <w:rPr>
                <w:rFonts w:ascii="Arial" w:eastAsiaTheme="minorEastAsia" w:hAnsi="Arial" w:cs="Arial"/>
                <w:bCs/>
                <w:color w:val="000000"/>
                <w:sz w:val="18"/>
                <w:lang w:eastAsia="zh-CN"/>
              </w:rPr>
              <w:t>-</w:t>
            </w:r>
            <w:r>
              <w:rPr>
                <w:rFonts w:ascii="Arial" w:eastAsiaTheme="minorEastAsia" w:hAnsi="Arial" w:cs="Arial"/>
                <w:bCs/>
                <w:color w:val="000000"/>
                <w:sz w:val="18"/>
                <w:lang w:eastAsia="zh-CN"/>
              </w:rPr>
              <w:t>1</w:t>
            </w:r>
          </w:p>
        </w:tc>
        <w:tc>
          <w:tcPr>
            <w:tcW w:w="1559" w:type="dxa"/>
            <w:shd w:val="clear" w:color="auto" w:fill="auto"/>
          </w:tcPr>
          <w:p w14:paraId="3B210B3F" w14:textId="77777777" w:rsidR="002501AB" w:rsidRPr="00C1640B" w:rsidRDefault="002501AB" w:rsidP="00040EC8">
            <w:pPr>
              <w:keepNext/>
              <w:keepLines/>
              <w:rPr>
                <w:rFonts w:ascii="Arial" w:eastAsia="Times New Roman" w:hAnsi="Arial" w:cs="Arial"/>
                <w:bCs/>
                <w:color w:val="000000"/>
                <w:sz w:val="18"/>
              </w:rPr>
            </w:pPr>
            <w:r w:rsidRPr="00536600">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r w:rsidRPr="00536600">
              <w:rPr>
                <w:rFonts w:ascii="Arial" w:eastAsia="Times New Roman" w:hAnsi="Arial" w:cs="Arial"/>
                <w:bCs/>
                <w:color w:val="000000"/>
                <w:sz w:val="18"/>
              </w:rPr>
              <w:t>SCell without SS/PBCH block</w:t>
            </w:r>
            <w:r w:rsidRPr="00C1640B">
              <w:rPr>
                <w:rFonts w:ascii="Arial" w:eastAsia="Times New Roman" w:hAnsi="Arial" w:cs="Arial"/>
                <w:bCs/>
                <w:color w:val="000000"/>
                <w:sz w:val="18"/>
              </w:rPr>
              <w:t xml:space="preserve"> for </w:t>
            </w:r>
            <w:r>
              <w:rPr>
                <w:rFonts w:ascii="Arial" w:eastAsia="Times New Roman" w:hAnsi="Arial" w:cs="Arial"/>
                <w:bCs/>
                <w:color w:val="000000"/>
                <w:sz w:val="18"/>
              </w:rPr>
              <w:t xml:space="preserve">NR FR1 </w:t>
            </w:r>
            <w:r w:rsidRPr="00C1640B">
              <w:rPr>
                <w:rFonts w:ascii="Arial" w:eastAsia="Times New Roman" w:hAnsi="Arial" w:cs="Arial"/>
                <w:bCs/>
                <w:color w:val="000000"/>
                <w:sz w:val="18"/>
              </w:rPr>
              <w:t xml:space="preserve">inter-band </w:t>
            </w:r>
            <w:r>
              <w:rPr>
                <w:rFonts w:ascii="Arial" w:eastAsia="Times New Roman" w:hAnsi="Arial" w:cs="Arial"/>
                <w:bCs/>
                <w:color w:val="000000"/>
                <w:sz w:val="18"/>
              </w:rPr>
              <w:t xml:space="preserve">[and intra-band non-contiguous] </w:t>
            </w:r>
            <w:r w:rsidRPr="00C1640B">
              <w:rPr>
                <w:rFonts w:ascii="Arial" w:eastAsia="Times New Roman" w:hAnsi="Arial" w:cs="Arial"/>
                <w:bCs/>
                <w:color w:val="000000"/>
                <w:sz w:val="18"/>
              </w:rPr>
              <w:t>CA</w:t>
            </w:r>
          </w:p>
        </w:tc>
        <w:tc>
          <w:tcPr>
            <w:tcW w:w="5103" w:type="dxa"/>
            <w:shd w:val="clear" w:color="auto" w:fill="auto"/>
          </w:tcPr>
          <w:p w14:paraId="7DB9338B" w14:textId="77777777" w:rsidR="002501AB" w:rsidRPr="00987A73" w:rsidRDefault="002501AB" w:rsidP="00040EC8">
            <w:pPr>
              <w:keepNext/>
              <w:keepLines/>
              <w:rPr>
                <w:rFonts w:ascii="Arial" w:eastAsia="Times New Roman" w:hAnsi="Arial" w:cs="Arial"/>
                <w:bCs/>
                <w:color w:val="000000"/>
                <w:sz w:val="18"/>
              </w:rPr>
            </w:pPr>
            <w:r>
              <w:rPr>
                <w:rFonts w:ascii="Arial" w:eastAsia="Times New Roman" w:hAnsi="Arial" w:cs="Arial"/>
                <w:bCs/>
                <w:color w:val="000000"/>
                <w:sz w:val="18"/>
              </w:rPr>
              <w:t xml:space="preserve">1. </w:t>
            </w:r>
            <w:r w:rsidRPr="00A166A7">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r w:rsidRPr="00A166A7">
              <w:rPr>
                <w:rFonts w:ascii="Arial" w:eastAsia="Times New Roman" w:hAnsi="Arial" w:cs="Arial"/>
                <w:bCs/>
                <w:color w:val="000000"/>
                <w:sz w:val="18"/>
              </w:rPr>
              <w:t>SCell without SS/PBCH block</w:t>
            </w:r>
            <w:r>
              <w:rPr>
                <w:rFonts w:ascii="Arial" w:eastAsia="Times New Roman" w:hAnsi="Arial" w:cs="Arial"/>
                <w:bCs/>
                <w:color w:val="000000"/>
                <w:sz w:val="18"/>
              </w:rPr>
              <w:t xml:space="preserve"> </w:t>
            </w:r>
            <w:r w:rsidRPr="00D54A81">
              <w:rPr>
                <w:rFonts w:ascii="Arial" w:eastAsia="Times New Roman" w:hAnsi="Arial" w:cs="Arial"/>
                <w:bCs/>
                <w:color w:val="000000"/>
                <w:sz w:val="18"/>
              </w:rPr>
              <w:t>for</w:t>
            </w:r>
            <w:r>
              <w:rPr>
                <w:rFonts w:ascii="Arial" w:eastAsia="Times New Roman" w:hAnsi="Arial" w:cs="Arial"/>
                <w:bCs/>
                <w:color w:val="000000"/>
                <w:sz w:val="18"/>
              </w:rPr>
              <w:t xml:space="preserve"> NR FR1 inter-band [and intra-band non-contiguous] CA</w:t>
            </w:r>
          </w:p>
        </w:tc>
        <w:tc>
          <w:tcPr>
            <w:tcW w:w="1560" w:type="dxa"/>
            <w:shd w:val="clear" w:color="auto" w:fill="auto"/>
          </w:tcPr>
          <w:p w14:paraId="44FB5C86" w14:textId="77777777" w:rsidR="002501AB" w:rsidRPr="0080561D" w:rsidRDefault="002501AB" w:rsidP="00040EC8">
            <w:pPr>
              <w:keepNext/>
              <w:keepLines/>
              <w:jc w:val="center"/>
              <w:rPr>
                <w:rFonts w:ascii="Arial" w:eastAsia="Times New Roman" w:hAnsi="Arial" w:cs="Arial"/>
                <w:bCs/>
                <w:color w:val="000000"/>
                <w:sz w:val="18"/>
              </w:rPr>
            </w:pPr>
            <w:r>
              <w:rPr>
                <w:rFonts w:ascii="Arial" w:eastAsia="Times New Roman" w:hAnsi="Arial" w:cs="Arial"/>
                <w:bCs/>
                <w:color w:val="000000"/>
                <w:sz w:val="18"/>
              </w:rPr>
              <w:t xml:space="preserve">No </w:t>
            </w:r>
          </w:p>
        </w:tc>
        <w:tc>
          <w:tcPr>
            <w:tcW w:w="1134" w:type="dxa"/>
            <w:shd w:val="clear" w:color="auto" w:fill="auto"/>
          </w:tcPr>
          <w:p w14:paraId="7A19526C"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Yes</w:t>
            </w:r>
          </w:p>
        </w:tc>
        <w:tc>
          <w:tcPr>
            <w:tcW w:w="1559" w:type="dxa"/>
            <w:shd w:val="clear" w:color="auto" w:fill="auto"/>
          </w:tcPr>
          <w:p w14:paraId="387BFFF5" w14:textId="77777777" w:rsidR="002501AB" w:rsidRPr="00EA1785" w:rsidRDefault="002501AB" w:rsidP="00040EC8">
            <w:pPr>
              <w:keepNext/>
              <w:keepLines/>
              <w:jc w:val="center"/>
              <w:rPr>
                <w:rFonts w:ascii="Arial" w:eastAsia="Gulim" w:hAnsi="Arial" w:cs="Arial"/>
                <w:bCs/>
                <w:color w:val="000000"/>
                <w:sz w:val="18"/>
              </w:rPr>
            </w:pPr>
            <w:r w:rsidRPr="00EA1785">
              <w:rPr>
                <w:rFonts w:ascii="Arial" w:eastAsia="Gulim" w:hAnsi="Arial" w:cs="Arial"/>
                <w:bCs/>
                <w:color w:val="000000"/>
                <w:sz w:val="18"/>
              </w:rPr>
              <w:t>N</w:t>
            </w:r>
            <w:r>
              <w:rPr>
                <w:rFonts w:ascii="Arial" w:eastAsia="Gulim" w:hAnsi="Arial" w:cs="Arial"/>
                <w:bCs/>
                <w:color w:val="000000"/>
                <w:sz w:val="18"/>
              </w:rPr>
              <w:t>/</w:t>
            </w:r>
            <w:r w:rsidRPr="00EA1785">
              <w:rPr>
                <w:rFonts w:ascii="Arial" w:eastAsia="Gulim" w:hAnsi="Arial" w:cs="Arial"/>
                <w:bCs/>
                <w:color w:val="000000"/>
                <w:sz w:val="18"/>
              </w:rPr>
              <w:t>A</w:t>
            </w:r>
          </w:p>
        </w:tc>
        <w:tc>
          <w:tcPr>
            <w:tcW w:w="1417" w:type="dxa"/>
          </w:tcPr>
          <w:p w14:paraId="08172443" w14:textId="77777777" w:rsidR="002501AB" w:rsidRPr="00EA1785" w:rsidRDefault="002501AB" w:rsidP="00040EC8">
            <w:pPr>
              <w:keepNext/>
              <w:keepLines/>
              <w:rPr>
                <w:rFonts w:ascii="Arial" w:hAnsi="Arial" w:cs="Arial"/>
                <w:bCs/>
                <w:color w:val="000000"/>
                <w:sz w:val="18"/>
              </w:rPr>
            </w:pPr>
            <w:r w:rsidRPr="00EA1785">
              <w:rPr>
                <w:rFonts w:ascii="Arial" w:eastAsia="Times New Roman" w:hAnsi="Arial" w:cs="Arial"/>
                <w:bCs/>
                <w:color w:val="000000"/>
                <w:sz w:val="18"/>
              </w:rPr>
              <w:t xml:space="preserve">SSB-less operation for NR FR1 inter-band </w:t>
            </w:r>
            <w:r>
              <w:rPr>
                <w:rFonts w:ascii="Arial" w:eastAsia="Times New Roman" w:hAnsi="Arial" w:cs="Arial"/>
                <w:bCs/>
                <w:color w:val="000000"/>
                <w:sz w:val="18"/>
              </w:rPr>
              <w:t xml:space="preserve">and [intra-band non-contiguous] </w:t>
            </w:r>
            <w:r w:rsidRPr="00EA1785">
              <w:rPr>
                <w:rFonts w:ascii="Arial" w:eastAsia="Times New Roman" w:hAnsi="Arial" w:cs="Arial"/>
                <w:bCs/>
                <w:color w:val="000000"/>
                <w:sz w:val="18"/>
              </w:rPr>
              <w:t>CA scenarios is not supported</w:t>
            </w:r>
          </w:p>
        </w:tc>
        <w:tc>
          <w:tcPr>
            <w:tcW w:w="1276" w:type="dxa"/>
            <w:shd w:val="clear" w:color="auto" w:fill="auto"/>
          </w:tcPr>
          <w:p w14:paraId="7AD6D209" w14:textId="77777777" w:rsidR="002501AB" w:rsidRPr="00EA1785" w:rsidRDefault="002501AB" w:rsidP="00040EC8">
            <w:pPr>
              <w:keepNext/>
              <w:keepLines/>
              <w:rPr>
                <w:rFonts w:ascii="Arial" w:hAnsi="Arial" w:cs="Arial"/>
                <w:bCs/>
                <w:color w:val="000000"/>
                <w:sz w:val="18"/>
              </w:rPr>
            </w:pPr>
            <w:r>
              <w:rPr>
                <w:rFonts w:ascii="Arial" w:hAnsi="Arial" w:cs="Arial"/>
                <w:bCs/>
                <w:color w:val="000000"/>
                <w:sz w:val="18"/>
              </w:rPr>
              <w:t>Per FS</w:t>
            </w:r>
          </w:p>
        </w:tc>
        <w:tc>
          <w:tcPr>
            <w:tcW w:w="992" w:type="dxa"/>
            <w:shd w:val="clear" w:color="auto" w:fill="auto"/>
          </w:tcPr>
          <w:p w14:paraId="1E44B036"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No</w:t>
            </w:r>
          </w:p>
        </w:tc>
        <w:tc>
          <w:tcPr>
            <w:tcW w:w="993" w:type="dxa"/>
            <w:shd w:val="clear" w:color="auto" w:fill="auto"/>
          </w:tcPr>
          <w:p w14:paraId="4C28D4B8"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FR1 only</w:t>
            </w:r>
          </w:p>
        </w:tc>
        <w:tc>
          <w:tcPr>
            <w:tcW w:w="1842" w:type="dxa"/>
          </w:tcPr>
          <w:p w14:paraId="55756D29" w14:textId="77777777" w:rsidR="002501AB" w:rsidRPr="00EA1785" w:rsidRDefault="002501AB" w:rsidP="00040EC8">
            <w:pPr>
              <w:keepNext/>
              <w:keepLines/>
              <w:jc w:val="center"/>
              <w:rPr>
                <w:rFonts w:ascii="Arial" w:eastAsia="Times New Roman" w:hAnsi="Arial" w:cs="Arial"/>
                <w:bCs/>
                <w:color w:val="000000"/>
                <w:sz w:val="18"/>
              </w:rPr>
            </w:pPr>
            <w:r w:rsidRPr="00400FCA">
              <w:rPr>
                <w:rFonts w:ascii="Arial" w:eastAsia="Times New Roman" w:hAnsi="Arial" w:cs="Arial"/>
                <w:bCs/>
                <w:color w:val="000000"/>
                <w:sz w:val="18"/>
              </w:rPr>
              <w:t>N/A</w:t>
            </w:r>
          </w:p>
        </w:tc>
        <w:tc>
          <w:tcPr>
            <w:tcW w:w="1843" w:type="dxa"/>
            <w:shd w:val="clear" w:color="auto" w:fill="auto"/>
          </w:tcPr>
          <w:p w14:paraId="14E9A154" w14:textId="77777777" w:rsidR="002501AB" w:rsidRDefault="002501AB" w:rsidP="00040EC8">
            <w:pPr>
              <w:keepNext/>
              <w:keepLines/>
              <w:rPr>
                <w:rFonts w:ascii="Arial" w:eastAsia="Times New Roman" w:hAnsi="Arial" w:cs="Arial"/>
                <w:bCs/>
                <w:color w:val="000000"/>
                <w:sz w:val="18"/>
              </w:rPr>
            </w:pPr>
            <w:r w:rsidRPr="00EA1785">
              <w:rPr>
                <w:rFonts w:ascii="Arial" w:eastAsia="Times New Roman" w:hAnsi="Arial" w:cs="Arial"/>
                <w:bCs/>
                <w:color w:val="000000"/>
                <w:sz w:val="18"/>
              </w:rPr>
              <w:t>Component 1</w:t>
            </w:r>
            <w:r>
              <w:rPr>
                <w:rFonts w:ascii="Arial" w:eastAsia="Times New Roman" w:hAnsi="Arial" w:cs="Arial"/>
                <w:bCs/>
                <w:color w:val="000000"/>
                <w:sz w:val="18"/>
              </w:rPr>
              <w:t xml:space="preserve">: </w:t>
            </w:r>
            <w:proofErr w:type="gramStart"/>
            <w:r w:rsidRPr="004F44E5">
              <w:rPr>
                <w:rFonts w:ascii="Arial" w:eastAsia="Times New Roman" w:hAnsi="Arial" w:cs="Arial"/>
                <w:bCs/>
                <w:color w:val="000000"/>
                <w:sz w:val="18"/>
              </w:rPr>
              <w:t>Whether or not</w:t>
            </w:r>
            <w:proofErr w:type="gramEnd"/>
            <w:r w:rsidRPr="004F44E5">
              <w:rPr>
                <w:rFonts w:ascii="Arial" w:eastAsia="Times New Roman" w:hAnsi="Arial" w:cs="Arial"/>
                <w:bCs/>
                <w:color w:val="000000"/>
                <w:sz w:val="18"/>
              </w:rPr>
              <w:t xml:space="preserve"> UE is able to use SS/PBCH block from other Cells for time/frequency synchronization of SCell without SS/PBCH block</w:t>
            </w:r>
            <w:r>
              <w:rPr>
                <w:rFonts w:ascii="Arial" w:eastAsia="Times New Roman" w:hAnsi="Arial" w:cs="Arial"/>
                <w:bCs/>
                <w:color w:val="000000"/>
                <w:sz w:val="18"/>
              </w:rPr>
              <w:t>.</w:t>
            </w:r>
          </w:p>
          <w:p w14:paraId="61DEC86A" w14:textId="77777777" w:rsidR="002501AB" w:rsidRPr="00EA1785" w:rsidRDefault="002501AB" w:rsidP="00040EC8">
            <w:pPr>
              <w:keepNext/>
              <w:keepLines/>
              <w:rPr>
                <w:rFonts w:ascii="Arial" w:eastAsia="Times New Roman" w:hAnsi="Arial" w:cs="Arial"/>
                <w:bCs/>
                <w:color w:val="000000"/>
                <w:sz w:val="18"/>
              </w:rPr>
            </w:pPr>
          </w:p>
        </w:tc>
        <w:tc>
          <w:tcPr>
            <w:tcW w:w="1276" w:type="dxa"/>
            <w:shd w:val="clear" w:color="auto" w:fill="auto"/>
          </w:tcPr>
          <w:p w14:paraId="3ABB6D7D"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Optional</w:t>
            </w:r>
            <w:r>
              <w:rPr>
                <w:rFonts w:ascii="Arial" w:eastAsia="Times New Roman" w:hAnsi="Arial" w:cs="Arial"/>
                <w:bCs/>
                <w:color w:val="000000"/>
                <w:sz w:val="18"/>
              </w:rPr>
              <w:t xml:space="preserve"> with capability signalling</w:t>
            </w:r>
          </w:p>
        </w:tc>
      </w:tr>
    </w:tbl>
    <w:p w14:paraId="63A973D9" w14:textId="77777777" w:rsidR="002C4D71" w:rsidRDefault="002C4D71" w:rsidP="00693D73">
      <w:pPr>
        <w:rPr>
          <w:b/>
          <w:bCs/>
          <w:lang w:eastAsia="ja-JP" w:bidi="hi-IN"/>
        </w:rPr>
        <w:sectPr w:rsidR="002C4D71" w:rsidSect="006674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11" w:h="16838" w:orient="landscape" w:code="8"/>
          <w:pgMar w:top="1138" w:right="1267" w:bottom="1138" w:left="994" w:header="619" w:footer="562" w:gutter="0"/>
          <w:cols w:space="720"/>
          <w:docGrid w:linePitch="272"/>
        </w:sectPr>
      </w:pPr>
    </w:p>
    <w:p w14:paraId="6725F81F" w14:textId="0533B546" w:rsidR="00060600" w:rsidRDefault="00D8735B" w:rsidP="004B191B">
      <w:pPr>
        <w:pStyle w:val="Heading2"/>
        <w:tabs>
          <w:tab w:val="num" w:pos="567"/>
        </w:tabs>
        <w:ind w:left="567"/>
      </w:pPr>
      <w:r>
        <w:lastRenderedPageBreak/>
        <w:t>SSB-less SCell in intra-band non-contiguous CA</w:t>
      </w:r>
    </w:p>
    <w:p w14:paraId="048135C8" w14:textId="17C05450" w:rsidR="00B75C8C" w:rsidRDefault="00B75C8C" w:rsidP="00060600">
      <w:r>
        <w:t>There is no reason to leave intra-band non-contiguous CA deployment out of scope in terms of discussions on the 3ms activation requirements for SSB-less SCell.</w:t>
      </w:r>
    </w:p>
    <w:p w14:paraId="486F3690" w14:textId="7C054B1C" w:rsidR="00B75C8C" w:rsidRDefault="00B75C8C" w:rsidP="00060600">
      <w:r>
        <w:t>At least all the requirements specified for inter-band CA can be applied to intra-band non-contiguous CA. We propose that together with the specification of inter-band cases, RAN4 specifies requirements also for intra-band non-contiguous CA.</w:t>
      </w:r>
    </w:p>
    <w:p w14:paraId="47942430" w14:textId="00F325CC" w:rsidR="00B75C8C" w:rsidRDefault="00B75C8C" w:rsidP="00060600">
      <w:pPr>
        <w:rPr>
          <w:b/>
          <w:bCs/>
        </w:rPr>
      </w:pPr>
      <w:r w:rsidRPr="00B75C8C">
        <w:rPr>
          <w:b/>
          <w:bCs/>
        </w:rPr>
        <w:t>Proposal</w:t>
      </w:r>
      <w:r w:rsidR="00977FC2">
        <w:rPr>
          <w:b/>
          <w:bCs/>
        </w:rPr>
        <w:t xml:space="preserve"> </w:t>
      </w:r>
      <w:r w:rsidR="00693D73">
        <w:rPr>
          <w:b/>
          <w:bCs/>
        </w:rPr>
        <w:t>4</w:t>
      </w:r>
      <w:r w:rsidRPr="00B75C8C">
        <w:rPr>
          <w:b/>
          <w:bCs/>
        </w:rPr>
        <w:t>: Together with the specification of inter-band cases, RAN4 specifies requirements also for intra-band non-contiguous CA.</w:t>
      </w:r>
    </w:p>
    <w:p w14:paraId="4EC9F01E" w14:textId="427D883A" w:rsidR="00C65043" w:rsidRPr="00B75C8C" w:rsidRDefault="00C65043" w:rsidP="00060600">
      <w:pPr>
        <w:rPr>
          <w:b/>
          <w:bCs/>
        </w:rPr>
      </w:pPr>
      <w:r>
        <w:rPr>
          <w:b/>
          <w:bCs/>
        </w:rPr>
        <w:t>Proposal</w:t>
      </w:r>
      <w:r w:rsidR="00977FC2">
        <w:rPr>
          <w:b/>
          <w:bCs/>
        </w:rPr>
        <w:t xml:space="preserve"> </w:t>
      </w:r>
      <w:r w:rsidR="00693D73">
        <w:rPr>
          <w:b/>
          <w:bCs/>
        </w:rPr>
        <w:t>5</w:t>
      </w:r>
      <w:r>
        <w:rPr>
          <w:b/>
          <w:bCs/>
        </w:rPr>
        <w:t>: Activation requirements specified for inter-band</w:t>
      </w:r>
      <w:r w:rsidR="00F71E6D">
        <w:rPr>
          <w:b/>
          <w:bCs/>
        </w:rPr>
        <w:t xml:space="preserve"> CA</w:t>
      </w:r>
      <w:r>
        <w:rPr>
          <w:b/>
          <w:bCs/>
        </w:rPr>
        <w:t xml:space="preserve"> SSB-less SCell also apply to intra-band non-contiguous </w:t>
      </w:r>
      <w:r w:rsidR="00F71E6D">
        <w:rPr>
          <w:b/>
          <w:bCs/>
        </w:rPr>
        <w:t xml:space="preserve">CA </w:t>
      </w:r>
      <w:r>
        <w:rPr>
          <w:b/>
          <w:bCs/>
        </w:rPr>
        <w:t>SSB-less SCell activation.</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174AAFE8" w14:textId="77777777" w:rsidR="00693D73" w:rsidRDefault="00693D73" w:rsidP="00693D73">
      <w:pPr>
        <w:rPr>
          <w:b/>
          <w:bCs/>
        </w:rPr>
      </w:pPr>
      <w:r w:rsidRPr="005C2D1C">
        <w:rPr>
          <w:b/>
          <w:bCs/>
        </w:rPr>
        <w:t xml:space="preserve">Proposal </w:t>
      </w:r>
      <w:r>
        <w:rPr>
          <w:b/>
          <w:bCs/>
        </w:rPr>
        <w:t>1</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274B0630" w14:textId="77777777" w:rsidR="00693D73" w:rsidRPr="00261370" w:rsidRDefault="00693D73" w:rsidP="00693D73">
      <w:pPr>
        <w:rPr>
          <w:b/>
          <w:bCs/>
        </w:rPr>
      </w:pPr>
      <w:r w:rsidRPr="00261370">
        <w:rPr>
          <w:b/>
          <w:bCs/>
        </w:rPr>
        <w:t>Proposal 2: There is no activation requirement applicable to the UE if the indicated reference cell does not transmit the QCL source of the target SCell scheduling.</w:t>
      </w:r>
    </w:p>
    <w:p w14:paraId="00A093A9" w14:textId="77777777" w:rsidR="007529E8" w:rsidRPr="00693D73" w:rsidRDefault="007529E8" w:rsidP="007529E8">
      <w:pPr>
        <w:rPr>
          <w:b/>
          <w:bCs/>
          <w:lang w:eastAsia="ja-JP" w:bidi="hi-IN"/>
        </w:rPr>
      </w:pPr>
      <w:r w:rsidRPr="006100EE">
        <w:rPr>
          <w:b/>
          <w:bCs/>
          <w:lang w:eastAsia="ja-JP" w:bidi="hi-IN"/>
        </w:rPr>
        <w:t xml:space="preserve">Proposal 3: Introduce the optional with capability signalling per FS indication of UE supporting </w:t>
      </w:r>
      <w:r>
        <w:rPr>
          <w:b/>
          <w:bCs/>
          <w:lang w:eastAsia="ja-JP" w:bidi="hi-IN"/>
        </w:rPr>
        <w:t xml:space="preserve">inter-band </w:t>
      </w:r>
      <w:r w:rsidRPr="006100EE">
        <w:rPr>
          <w:b/>
          <w:bCs/>
          <w:lang w:eastAsia="ja-JP" w:bidi="hi-IN"/>
        </w:rPr>
        <w:t>SSB-less SCell activation in Rel-18.</w:t>
      </w:r>
    </w:p>
    <w:p w14:paraId="20A7FDDE" w14:textId="77777777" w:rsidR="00693D73" w:rsidRDefault="00693D73" w:rsidP="00693D73">
      <w:pPr>
        <w:rPr>
          <w:b/>
          <w:bCs/>
        </w:rPr>
      </w:pPr>
      <w:r w:rsidRPr="00B75C8C">
        <w:rPr>
          <w:b/>
          <w:bCs/>
        </w:rPr>
        <w:t>Proposal</w:t>
      </w:r>
      <w:r>
        <w:rPr>
          <w:b/>
          <w:bCs/>
        </w:rPr>
        <w:t xml:space="preserve"> 4</w:t>
      </w:r>
      <w:r w:rsidRPr="00B75C8C">
        <w:rPr>
          <w:b/>
          <w:bCs/>
        </w:rPr>
        <w:t>: Together with the specification of inter-band cases, RAN4 specifies requirements also for intra-band non-contiguous CA.</w:t>
      </w:r>
    </w:p>
    <w:p w14:paraId="67C2E505" w14:textId="77777777" w:rsidR="00693D73" w:rsidRPr="00B75C8C" w:rsidRDefault="00693D73" w:rsidP="00693D73">
      <w:pPr>
        <w:rPr>
          <w:b/>
          <w:bCs/>
        </w:rPr>
      </w:pPr>
      <w:r>
        <w:rPr>
          <w:b/>
          <w:bCs/>
        </w:rPr>
        <w:t>Proposal 5: Activation requirements specified for inter-band CA SSB-less SCell also apply to intra-band non-contiguous CA SSB-less SCell activation.</w:t>
      </w:r>
    </w:p>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p w14:paraId="7C63669E" w14:textId="5A638A45" w:rsidR="0085014F" w:rsidRDefault="0085014F" w:rsidP="00536CC1">
      <w:pPr>
        <w:widowControl w:val="0"/>
        <w:numPr>
          <w:ilvl w:val="0"/>
          <w:numId w:val="1"/>
        </w:numPr>
        <w:jc w:val="both"/>
      </w:pPr>
      <w:r>
        <w:t xml:space="preserve">R4-2306369, </w:t>
      </w:r>
      <w:r w:rsidRPr="0085014F">
        <w:t>WF on RRM requirements for NR network energy saving</w:t>
      </w:r>
      <w:r>
        <w:t>, Huawei</w:t>
      </w:r>
    </w:p>
    <w:p w14:paraId="1153F769" w14:textId="65F47D6F" w:rsidR="0085014F" w:rsidRDefault="0085014F" w:rsidP="00536CC1">
      <w:pPr>
        <w:widowControl w:val="0"/>
        <w:numPr>
          <w:ilvl w:val="0"/>
          <w:numId w:val="1"/>
        </w:numPr>
        <w:jc w:val="both"/>
      </w:pPr>
      <w:r>
        <w:t xml:space="preserve">R4-2310086, </w:t>
      </w:r>
      <w:r w:rsidRPr="0085014F">
        <w:t>WF on RRM requirements for NR network energy saving</w:t>
      </w:r>
      <w:r>
        <w:t>, Huawei</w:t>
      </w:r>
    </w:p>
    <w:p w14:paraId="1DC2C269" w14:textId="2D2AE1BF" w:rsidR="008765C3" w:rsidRDefault="008765C3" w:rsidP="00536CC1">
      <w:pPr>
        <w:widowControl w:val="0"/>
        <w:numPr>
          <w:ilvl w:val="0"/>
          <w:numId w:val="1"/>
        </w:numPr>
        <w:jc w:val="both"/>
      </w:pPr>
      <w:r>
        <w:t>R4-2314381, WF on RRM requirements for NR network energy saving, Huawei</w:t>
      </w:r>
    </w:p>
    <w:p w14:paraId="55BB63D0" w14:textId="29C8B0C4" w:rsidR="006F73CA" w:rsidRDefault="006F73CA" w:rsidP="00536CC1">
      <w:pPr>
        <w:widowControl w:val="0"/>
        <w:numPr>
          <w:ilvl w:val="0"/>
          <w:numId w:val="1"/>
        </w:numPr>
        <w:jc w:val="both"/>
      </w:pPr>
      <w:r>
        <w:t xml:space="preserve">R4-2317405, WF </w:t>
      </w:r>
      <w:r w:rsidRPr="006F73CA">
        <w:t>on RRM requirements for NR network energy saving</w:t>
      </w:r>
      <w:r>
        <w:t>, Huawei</w:t>
      </w:r>
    </w:p>
    <w:sectPr w:rsidR="006F73CA" w:rsidSect="002C4D71">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5954E" w14:textId="77777777" w:rsidR="00985B99" w:rsidRDefault="00985B99" w:rsidP="00F01182">
      <w:pPr>
        <w:spacing w:before="0" w:after="0"/>
      </w:pPr>
      <w:r>
        <w:separator/>
      </w:r>
    </w:p>
  </w:endnote>
  <w:endnote w:type="continuationSeparator" w:id="0">
    <w:p w14:paraId="62A67D4D" w14:textId="77777777" w:rsidR="00985B99" w:rsidRDefault="00985B99" w:rsidP="00F01182">
      <w:pPr>
        <w:spacing w:before="0" w:after="0"/>
      </w:pPr>
      <w:r>
        <w:continuationSeparator/>
      </w:r>
    </w:p>
  </w:endnote>
  <w:endnote w:type="continuationNotice" w:id="1">
    <w:p w14:paraId="354AA742" w14:textId="77777777" w:rsidR="00985B99" w:rsidRDefault="00985B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FCEF7" w14:textId="77777777" w:rsidR="00E65832" w:rsidRDefault="00E65832"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139F7E" w14:textId="77777777" w:rsidR="00E65832" w:rsidRDefault="00E65832"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679CE" w14:textId="77777777" w:rsidR="00E65832" w:rsidRPr="00DB1239" w:rsidRDefault="00E65832"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081D" w14:textId="77777777" w:rsidR="00E65832" w:rsidRDefault="00E658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A457" w14:textId="77777777" w:rsidR="00985B99" w:rsidRDefault="00985B99" w:rsidP="00F01182">
      <w:pPr>
        <w:spacing w:before="0" w:after="0"/>
      </w:pPr>
      <w:r>
        <w:separator/>
      </w:r>
    </w:p>
  </w:footnote>
  <w:footnote w:type="continuationSeparator" w:id="0">
    <w:p w14:paraId="0DF9A4BB" w14:textId="77777777" w:rsidR="00985B99" w:rsidRDefault="00985B99" w:rsidP="00F01182">
      <w:pPr>
        <w:spacing w:before="0" w:after="0"/>
      </w:pPr>
      <w:r>
        <w:continuationSeparator/>
      </w:r>
    </w:p>
  </w:footnote>
  <w:footnote w:type="continuationNotice" w:id="1">
    <w:p w14:paraId="2AEBBEDB" w14:textId="77777777" w:rsidR="00985B99" w:rsidRDefault="00985B9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A040A" w14:textId="77777777" w:rsidR="00E65832" w:rsidRDefault="00E6583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E4C3" w14:textId="77777777" w:rsidR="00E65832" w:rsidRDefault="00E65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83001" w14:textId="77777777" w:rsidR="00E65832" w:rsidRDefault="00E65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5"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1"/>
  </w:num>
  <w:num w:numId="3" w16cid:durableId="1750498845">
    <w:abstractNumId w:val="24"/>
  </w:num>
  <w:num w:numId="4" w16cid:durableId="543520260">
    <w:abstractNumId w:val="18"/>
  </w:num>
  <w:num w:numId="5" w16cid:durableId="1359502119">
    <w:abstractNumId w:val="11"/>
  </w:num>
  <w:num w:numId="6" w16cid:durableId="1793940456">
    <w:abstractNumId w:val="27"/>
  </w:num>
  <w:num w:numId="7" w16cid:durableId="537012164">
    <w:abstractNumId w:val="10"/>
  </w:num>
  <w:num w:numId="8" w16cid:durableId="2097706601">
    <w:abstractNumId w:val="0"/>
  </w:num>
  <w:num w:numId="9" w16cid:durableId="1310327117">
    <w:abstractNumId w:val="13"/>
  </w:num>
  <w:num w:numId="10" w16cid:durableId="1636716512">
    <w:abstractNumId w:val="28"/>
  </w:num>
  <w:num w:numId="11" w16cid:durableId="715861796">
    <w:abstractNumId w:val="1"/>
  </w:num>
  <w:num w:numId="12" w16cid:durableId="839199737">
    <w:abstractNumId w:val="2"/>
  </w:num>
  <w:num w:numId="13" w16cid:durableId="1818840559">
    <w:abstractNumId w:val="23"/>
  </w:num>
  <w:num w:numId="14" w16cid:durableId="1427581886">
    <w:abstractNumId w:val="14"/>
  </w:num>
  <w:num w:numId="15" w16cid:durableId="1860504042">
    <w:abstractNumId w:val="22"/>
  </w:num>
  <w:num w:numId="16" w16cid:durableId="1765879093">
    <w:abstractNumId w:val="15"/>
  </w:num>
  <w:num w:numId="17" w16cid:durableId="483280718">
    <w:abstractNumId w:val="29"/>
  </w:num>
  <w:num w:numId="18" w16cid:durableId="1885829372">
    <w:abstractNumId w:val="16"/>
  </w:num>
  <w:num w:numId="19" w16cid:durableId="513542627">
    <w:abstractNumId w:val="6"/>
  </w:num>
  <w:num w:numId="20" w16cid:durableId="754546545">
    <w:abstractNumId w:val="17"/>
  </w:num>
  <w:num w:numId="21" w16cid:durableId="693922844">
    <w:abstractNumId w:val="21"/>
  </w:num>
  <w:num w:numId="22" w16cid:durableId="488254912">
    <w:abstractNumId w:val="21"/>
  </w:num>
  <w:num w:numId="23" w16cid:durableId="313418068">
    <w:abstractNumId w:val="21"/>
  </w:num>
  <w:num w:numId="24" w16cid:durableId="1253708625">
    <w:abstractNumId w:val="21"/>
  </w:num>
  <w:num w:numId="25" w16cid:durableId="1868327563">
    <w:abstractNumId w:val="21"/>
  </w:num>
  <w:num w:numId="26" w16cid:durableId="403720693">
    <w:abstractNumId w:val="22"/>
  </w:num>
  <w:num w:numId="27" w16cid:durableId="979964366">
    <w:abstractNumId w:val="8"/>
  </w:num>
  <w:num w:numId="28" w16cid:durableId="1145703836">
    <w:abstractNumId w:val="25"/>
  </w:num>
  <w:num w:numId="29" w16cid:durableId="1350718329">
    <w:abstractNumId w:val="26"/>
  </w:num>
  <w:num w:numId="30" w16cid:durableId="1228496372">
    <w:abstractNumId w:val="12"/>
  </w:num>
  <w:num w:numId="31" w16cid:durableId="1234511580">
    <w:abstractNumId w:val="7"/>
  </w:num>
  <w:num w:numId="32" w16cid:durableId="2116704110">
    <w:abstractNumId w:val="20"/>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0"/>
  </w:num>
  <w:num w:numId="35" w16cid:durableId="80837908">
    <w:abstractNumId w:val="5"/>
  </w:num>
  <w:num w:numId="36" w16cid:durableId="1173380315">
    <w:abstractNumId w:val="24"/>
  </w:num>
  <w:num w:numId="37" w16cid:durableId="553003575">
    <w:abstractNumId w:val="19"/>
  </w:num>
  <w:num w:numId="38" w16cid:durableId="11037231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81385"/>
    <w:rsid w:val="00081866"/>
    <w:rsid w:val="00084065"/>
    <w:rsid w:val="00095052"/>
    <w:rsid w:val="000A2FFB"/>
    <w:rsid w:val="000A50D0"/>
    <w:rsid w:val="000A7415"/>
    <w:rsid w:val="000A7F24"/>
    <w:rsid w:val="000A7FA8"/>
    <w:rsid w:val="000B0076"/>
    <w:rsid w:val="000B0577"/>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05A"/>
    <w:rsid w:val="001607E8"/>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6ACE"/>
    <w:rsid w:val="001977AA"/>
    <w:rsid w:val="001A0FB7"/>
    <w:rsid w:val="001A248D"/>
    <w:rsid w:val="001A5351"/>
    <w:rsid w:val="001A63FD"/>
    <w:rsid w:val="001B0D59"/>
    <w:rsid w:val="001B170B"/>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5AEF"/>
    <w:rsid w:val="001E6FB4"/>
    <w:rsid w:val="001E7235"/>
    <w:rsid w:val="001E73FA"/>
    <w:rsid w:val="001F076E"/>
    <w:rsid w:val="001F1ED3"/>
    <w:rsid w:val="001F214A"/>
    <w:rsid w:val="001F4A14"/>
    <w:rsid w:val="001F650C"/>
    <w:rsid w:val="00204AD9"/>
    <w:rsid w:val="00204C52"/>
    <w:rsid w:val="00206FF2"/>
    <w:rsid w:val="002102C7"/>
    <w:rsid w:val="002132D0"/>
    <w:rsid w:val="00213455"/>
    <w:rsid w:val="0021428A"/>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D71"/>
    <w:rsid w:val="002C4FD1"/>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03B"/>
    <w:rsid w:val="0039119D"/>
    <w:rsid w:val="00391250"/>
    <w:rsid w:val="003919C9"/>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D7C52"/>
    <w:rsid w:val="003E21BE"/>
    <w:rsid w:val="003E363B"/>
    <w:rsid w:val="003E3FF2"/>
    <w:rsid w:val="003E598B"/>
    <w:rsid w:val="003E5C23"/>
    <w:rsid w:val="003F1084"/>
    <w:rsid w:val="003F3F4C"/>
    <w:rsid w:val="003F4934"/>
    <w:rsid w:val="003F6923"/>
    <w:rsid w:val="0040357B"/>
    <w:rsid w:val="0040587F"/>
    <w:rsid w:val="00405DE3"/>
    <w:rsid w:val="00405F9A"/>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2C2"/>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766A"/>
    <w:rsid w:val="00927F65"/>
    <w:rsid w:val="00930D82"/>
    <w:rsid w:val="00932F7B"/>
    <w:rsid w:val="009335D9"/>
    <w:rsid w:val="0093423E"/>
    <w:rsid w:val="00936DE1"/>
    <w:rsid w:val="00941089"/>
    <w:rsid w:val="0094154F"/>
    <w:rsid w:val="0094190F"/>
    <w:rsid w:val="00941F19"/>
    <w:rsid w:val="00941FFE"/>
    <w:rsid w:val="009436B2"/>
    <w:rsid w:val="00944055"/>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5B99"/>
    <w:rsid w:val="009861E1"/>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12D"/>
    <w:rsid w:val="00B25B59"/>
    <w:rsid w:val="00B26222"/>
    <w:rsid w:val="00B2627B"/>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346"/>
    <w:rsid w:val="00B62BA2"/>
    <w:rsid w:val="00B635C8"/>
    <w:rsid w:val="00B635E3"/>
    <w:rsid w:val="00B64147"/>
    <w:rsid w:val="00B65363"/>
    <w:rsid w:val="00B66AAB"/>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C4207"/>
    <w:rsid w:val="00BC72C1"/>
    <w:rsid w:val="00BD1665"/>
    <w:rsid w:val="00BD19AC"/>
    <w:rsid w:val="00BD1E06"/>
    <w:rsid w:val="00BD2FF9"/>
    <w:rsid w:val="00BD5C74"/>
    <w:rsid w:val="00BD6C67"/>
    <w:rsid w:val="00BD7C46"/>
    <w:rsid w:val="00BE1A2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27F"/>
    <w:rsid w:val="00D26F51"/>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5391"/>
    <w:rsid w:val="00E773AC"/>
    <w:rsid w:val="00E82567"/>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3341"/>
    <w:rsid w:val="00EC4B01"/>
    <w:rsid w:val="00EC6B88"/>
    <w:rsid w:val="00EC7204"/>
    <w:rsid w:val="00ED160F"/>
    <w:rsid w:val="00ED1A74"/>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6700"/>
    <w:rsid w:val="00F06A7C"/>
    <w:rsid w:val="00F0792A"/>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52C0"/>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16C5BA60-9AD4-4753-B8D0-4C092F2AA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3573</TotalTime>
  <Pages>5</Pages>
  <Words>1916</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697</cp:revision>
  <dcterms:created xsi:type="dcterms:W3CDTF">2022-01-07T10:14:00Z</dcterms:created>
  <dcterms:modified xsi:type="dcterms:W3CDTF">2023-11-03T11:26:00Z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